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A27B5">
      <w:pPr>
        <w:pStyle w:val="2"/>
        <w:spacing w:before="129" w:line="207" w:lineRule="auto"/>
        <w:ind w:left="2182" w:firstLine="491" w:firstLineChars="100"/>
        <w:outlineLvl w:val="0"/>
        <w:rPr>
          <w:sz w:val="32"/>
          <w:szCs w:val="32"/>
        </w:rPr>
      </w:pPr>
      <w:bookmarkStart w:id="0" w:name="_GoBack"/>
      <w:bookmarkEnd w:id="0"/>
      <w:r>
        <w:rPr>
          <w:b/>
          <w:bCs/>
          <w:color w:val="000008"/>
          <w:spacing w:val="84"/>
          <w:w w:val="101"/>
          <w:sz w:val="32"/>
          <w:szCs w:val="32"/>
        </w:rPr>
        <w:t xml:space="preserve"> </w:t>
      </w:r>
      <w:r>
        <w:rPr>
          <w:b/>
          <w:bCs/>
          <w:color w:val="000008"/>
          <w:spacing w:val="-3"/>
          <w:sz w:val="32"/>
          <w:szCs w:val="32"/>
        </w:rPr>
        <w:t>服务需求及技术要求</w:t>
      </w:r>
    </w:p>
    <w:p w14:paraId="5D589F00">
      <w:pPr>
        <w:pStyle w:val="2"/>
        <w:spacing w:before="319" w:line="208" w:lineRule="auto"/>
        <w:ind w:left="444"/>
      </w:pPr>
      <w:r>
        <w:rPr>
          <w:b/>
          <w:bCs/>
          <w:color w:val="000008"/>
          <w:spacing w:val="-11"/>
        </w:rPr>
        <w:t>一、交易范围：</w:t>
      </w:r>
    </w:p>
    <w:p w14:paraId="6888E961">
      <w:pPr>
        <w:pStyle w:val="2"/>
        <w:spacing w:before="172" w:line="318" w:lineRule="auto"/>
        <w:ind w:left="26" w:right="81" w:firstLine="419"/>
      </w:pPr>
      <w:r>
        <w:rPr>
          <w:b/>
          <w:bCs/>
          <w:color w:val="000008"/>
          <w:spacing w:val="-8"/>
          <w:w w:val="98"/>
        </w:rPr>
        <w:t>基坑变形监测：监测基坑支护结构变形及相应周边环境变形，判断各监测项</w:t>
      </w:r>
      <w:r>
        <w:rPr>
          <w:b/>
          <w:bCs/>
          <w:color w:val="000008"/>
          <w:spacing w:val="-9"/>
          <w:w w:val="98"/>
        </w:rPr>
        <w:t>目是否处于</w:t>
      </w:r>
      <w:r>
        <w:rPr>
          <w:b/>
          <w:bCs/>
          <w:color w:val="000008"/>
          <w:spacing w:val="-10"/>
        </w:rPr>
        <w:t>安全值和设计要求的范围内；</w:t>
      </w:r>
    </w:p>
    <w:p w14:paraId="1EF5D140">
      <w:pPr>
        <w:pStyle w:val="2"/>
        <w:spacing w:before="4" w:line="317" w:lineRule="auto"/>
        <w:ind w:left="21" w:right="80" w:firstLine="424"/>
        <w:jc w:val="both"/>
      </w:pPr>
      <w:r>
        <w:rPr>
          <w:b/>
          <w:bCs/>
          <w:color w:val="000008"/>
          <w:spacing w:val="-9"/>
          <w:w w:val="98"/>
        </w:rPr>
        <w:t>主体沉降观测：①测区范围内布设水准基点并进行联测；②测区内建筑布设沉降观测点</w:t>
      </w:r>
      <w:r>
        <w:rPr>
          <w:b/>
          <w:bCs/>
          <w:color w:val="000008"/>
          <w:spacing w:val="-8"/>
          <w:w w:val="98"/>
        </w:rPr>
        <w:t>布置应满足《建筑变形测量规程》等国家相关规范标准和设计要求；③建筑的观测：施工阶</w:t>
      </w:r>
      <w:r>
        <w:rPr>
          <w:b/>
          <w:bCs/>
          <w:color w:val="000008"/>
          <w:spacing w:val="-5"/>
          <w:w w:val="98"/>
        </w:rPr>
        <w:t>段观测及使用阶段观测。</w:t>
      </w:r>
    </w:p>
    <w:p w14:paraId="215C4064">
      <w:pPr>
        <w:pStyle w:val="2"/>
        <w:spacing w:before="2" w:line="317" w:lineRule="auto"/>
        <w:ind w:left="21" w:right="80" w:firstLine="425"/>
      </w:pPr>
      <w:r>
        <w:rPr>
          <w:b/>
          <w:bCs/>
          <w:color w:val="000008"/>
          <w:spacing w:val="-5"/>
          <w:w w:val="98"/>
        </w:rPr>
        <w:t>具体监测</w:t>
      </w:r>
      <w:r>
        <w:rPr>
          <w:rFonts w:ascii="Times New Roman" w:hAnsi="Times New Roman" w:eastAsia="Times New Roman" w:cs="Times New Roman"/>
          <w:b/>
          <w:bCs/>
          <w:color w:val="000008"/>
          <w:spacing w:val="-5"/>
          <w:w w:val="98"/>
        </w:rPr>
        <w:t>/</w:t>
      </w:r>
      <w:r>
        <w:rPr>
          <w:b/>
          <w:bCs/>
          <w:color w:val="000008"/>
          <w:spacing w:val="-5"/>
          <w:w w:val="98"/>
        </w:rPr>
        <w:t>观测要求详见图纸及相关规范，监测</w:t>
      </w:r>
      <w:r>
        <w:rPr>
          <w:rFonts w:ascii="Times New Roman" w:hAnsi="Times New Roman" w:eastAsia="Times New Roman" w:cs="Times New Roman"/>
          <w:b/>
          <w:bCs/>
          <w:color w:val="000008"/>
          <w:spacing w:val="-6"/>
          <w:w w:val="98"/>
        </w:rPr>
        <w:t>/</w:t>
      </w:r>
      <w:r>
        <w:rPr>
          <w:b/>
          <w:bCs/>
          <w:color w:val="000008"/>
          <w:spacing w:val="-6"/>
          <w:w w:val="98"/>
        </w:rPr>
        <w:t>观测成果应满足行业主管部门验收强制</w:t>
      </w:r>
      <w:r>
        <w:rPr>
          <w:b/>
          <w:bCs/>
          <w:color w:val="000008"/>
          <w:spacing w:val="-8"/>
          <w:w w:val="98"/>
        </w:rPr>
        <w:t>性要求。二、服务要求</w:t>
      </w:r>
    </w:p>
    <w:p w14:paraId="4BF813F1">
      <w:pPr>
        <w:pStyle w:val="2"/>
        <w:spacing w:before="5" w:line="317" w:lineRule="auto"/>
        <w:ind w:left="24" w:right="1" w:firstLine="436"/>
      </w:pPr>
      <w:r>
        <w:rPr>
          <w:rFonts w:ascii="Times New Roman" w:hAnsi="Times New Roman" w:eastAsia="Times New Roman" w:cs="Times New Roman"/>
          <w:color w:val="000008"/>
          <w:spacing w:val="-14"/>
        </w:rPr>
        <w:t>1.</w:t>
      </w:r>
      <w:r>
        <w:rPr>
          <w:color w:val="000008"/>
          <w:spacing w:val="-14"/>
        </w:rPr>
        <w:t>本项目实行总价合同，总价已包括了为实施和完成</w:t>
      </w:r>
      <w:r>
        <w:rPr>
          <w:color w:val="000008"/>
          <w:spacing w:val="-15"/>
        </w:rPr>
        <w:t>合同工程所需的劳务、材料、机械、</w:t>
      </w:r>
      <w:r>
        <w:rPr>
          <w:color w:val="000008"/>
          <w:spacing w:val="-9"/>
          <w:w w:val="98"/>
        </w:rPr>
        <w:t>管理、临时工程、税款、保险、利润等全部费用以及合同的所有责任、义务和一般风险，供</w:t>
      </w:r>
      <w:r>
        <w:rPr>
          <w:color w:val="000008"/>
          <w:spacing w:val="-10"/>
        </w:rPr>
        <w:t>应商自行踏勘现场，特别是需考虑监测过程中的</w:t>
      </w:r>
      <w:r>
        <w:rPr>
          <w:color w:val="000008"/>
          <w:spacing w:val="-11"/>
        </w:rPr>
        <w:t>工期、安全管理的特殊性等因素。</w:t>
      </w:r>
    </w:p>
    <w:p w14:paraId="068463C4">
      <w:pPr>
        <w:pStyle w:val="2"/>
        <w:spacing w:before="4" w:line="317" w:lineRule="auto"/>
        <w:ind w:left="22" w:firstLine="417"/>
      </w:pPr>
      <w:r>
        <w:rPr>
          <w:rFonts w:ascii="Times New Roman" w:hAnsi="Times New Roman" w:eastAsia="Times New Roman" w:cs="Times New Roman"/>
          <w:b/>
          <w:bCs/>
          <w:color w:val="000008"/>
          <w:spacing w:val="-8"/>
          <w:w w:val="98"/>
        </w:rPr>
        <w:t>2.</w:t>
      </w:r>
      <w:r>
        <w:rPr>
          <w:b/>
          <w:bCs/>
          <w:color w:val="000008"/>
          <w:spacing w:val="-8"/>
          <w:w w:val="98"/>
        </w:rPr>
        <w:t>合同价为固定总价包干（不予调整</w:t>
      </w:r>
      <w:r>
        <w:rPr>
          <w:b/>
          <w:bCs/>
          <w:color w:val="000008"/>
          <w:spacing w:val="-31"/>
          <w:w w:val="76"/>
        </w:rPr>
        <w:t>），</w:t>
      </w:r>
      <w:r>
        <w:rPr>
          <w:b/>
          <w:bCs/>
          <w:color w:val="000008"/>
          <w:spacing w:val="-8"/>
          <w:w w:val="98"/>
        </w:rPr>
        <w:t>期间不办理经济签证，采购人提供的监测内容及数量为参考值，实际工作量如有增加，监测费用不予调整。监测点位、时长、频次有可能根</w:t>
      </w:r>
      <w:r>
        <w:rPr>
          <w:b/>
          <w:bCs/>
          <w:color w:val="000008"/>
          <w:spacing w:val="-9"/>
          <w:w w:val="97"/>
        </w:rPr>
        <w:t>据实际情况进行增加，监测费用不予增加。因工程返工进行的再次监测，监测费用不予增加。</w:t>
      </w:r>
    </w:p>
    <w:p w14:paraId="29140570">
      <w:pPr>
        <w:pStyle w:val="2"/>
        <w:spacing w:before="3" w:line="317" w:lineRule="auto"/>
        <w:ind w:left="25" w:right="125" w:firstLine="418"/>
      </w:pPr>
      <w:r>
        <w:rPr>
          <w:rFonts w:ascii="Times New Roman" w:hAnsi="Times New Roman" w:eastAsia="Times New Roman" w:cs="Times New Roman"/>
          <w:color w:val="000008"/>
          <w:spacing w:val="-10"/>
        </w:rPr>
        <w:t>3.</w:t>
      </w:r>
      <w:r>
        <w:rPr>
          <w:color w:val="000008"/>
          <w:spacing w:val="-10"/>
        </w:rPr>
        <w:t>成交人在接到采购人通知</w:t>
      </w:r>
      <w:r>
        <w:rPr>
          <w:rFonts w:ascii="Times New Roman" w:hAnsi="Times New Roman" w:eastAsia="Times New Roman" w:cs="Times New Roman"/>
          <w:color w:val="000008"/>
          <w:spacing w:val="-10"/>
        </w:rPr>
        <w:t xml:space="preserve">2 </w:t>
      </w:r>
      <w:r>
        <w:rPr>
          <w:color w:val="000008"/>
          <w:spacing w:val="-10"/>
        </w:rPr>
        <w:t>天内必须组织人员进场，因成交人原因</w:t>
      </w:r>
      <w:r>
        <w:rPr>
          <w:color w:val="000008"/>
          <w:spacing w:val="-11"/>
        </w:rPr>
        <w:t>延误进场时间的，</w:t>
      </w:r>
      <w:r>
        <w:rPr>
          <w:color w:val="000008"/>
          <w:spacing w:val="-6"/>
          <w:w w:val="98"/>
        </w:rPr>
        <w:t>采购人有权对其进行处罚。</w:t>
      </w:r>
    </w:p>
    <w:p w14:paraId="08D09799">
      <w:pPr>
        <w:pStyle w:val="2"/>
        <w:spacing w:before="4" w:line="317" w:lineRule="auto"/>
        <w:ind w:left="24" w:right="93" w:firstLine="414"/>
      </w:pPr>
      <w:r>
        <w:rPr>
          <w:rFonts w:ascii="Times New Roman" w:hAnsi="Times New Roman" w:eastAsia="Times New Roman" w:cs="Times New Roman"/>
          <w:color w:val="000008"/>
          <w:spacing w:val="-11"/>
        </w:rPr>
        <w:t>4.</w:t>
      </w:r>
      <w:r>
        <w:rPr>
          <w:color w:val="000008"/>
          <w:spacing w:val="-11"/>
        </w:rPr>
        <w:t>合同签订后三日内，成交人须编制切实可行的监测方案报采购人审批，并按审批后方</w:t>
      </w:r>
      <w:r>
        <w:rPr>
          <w:color w:val="000008"/>
          <w:spacing w:val="-13"/>
        </w:rPr>
        <w:t>案认真监测，成交人只对采购人负责，严禁听从监理单位与施工单位，否则，予以重罚直至</w:t>
      </w:r>
      <w:r>
        <w:rPr>
          <w:color w:val="000008"/>
          <w:spacing w:val="-8"/>
        </w:rPr>
        <w:t>终止合同。</w:t>
      </w:r>
    </w:p>
    <w:p w14:paraId="083D585A">
      <w:pPr>
        <w:pStyle w:val="2"/>
        <w:spacing w:before="3" w:line="317" w:lineRule="auto"/>
        <w:ind w:left="23" w:right="81" w:firstLine="421"/>
      </w:pPr>
      <w:r>
        <w:rPr>
          <w:rFonts w:ascii="Times New Roman" w:hAnsi="Times New Roman" w:eastAsia="Times New Roman" w:cs="Times New Roman"/>
          <w:color w:val="000008"/>
          <w:spacing w:val="-8"/>
        </w:rPr>
        <w:t>5.</w:t>
      </w:r>
      <w:r>
        <w:rPr>
          <w:color w:val="000008"/>
          <w:spacing w:val="-8"/>
        </w:rPr>
        <w:t>成交人须保证本公司出具的实验数据监测数据能够</w:t>
      </w:r>
      <w:r>
        <w:rPr>
          <w:color w:val="000008"/>
          <w:spacing w:val="-9"/>
        </w:rPr>
        <w:t>准确、及时、真实的反</w:t>
      </w:r>
      <w:r>
        <w:rPr>
          <w:color w:val="000008"/>
          <w:spacing w:val="52"/>
        </w:rPr>
        <w:t xml:space="preserve"> </w:t>
      </w:r>
      <w:r>
        <w:rPr>
          <w:color w:val="000008"/>
          <w:spacing w:val="-9"/>
        </w:rPr>
        <w:t>映工程实</w:t>
      </w:r>
      <w:r>
        <w:rPr>
          <w:color w:val="000008"/>
          <w:spacing w:val="-10"/>
        </w:rPr>
        <w:t>体质量，并对本公司出具的所有试验报告负法律责任。</w:t>
      </w:r>
    </w:p>
    <w:p w14:paraId="2429A0C7">
      <w:pPr>
        <w:pStyle w:val="2"/>
        <w:spacing w:before="4" w:line="317" w:lineRule="auto"/>
        <w:ind w:left="25" w:right="79" w:firstLine="419"/>
      </w:pPr>
      <w:r>
        <w:rPr>
          <w:rFonts w:ascii="Times New Roman" w:hAnsi="Times New Roman" w:eastAsia="Times New Roman" w:cs="Times New Roman"/>
          <w:color w:val="000008"/>
          <w:spacing w:val="-9"/>
          <w:w w:val="99"/>
        </w:rPr>
        <w:t>6.</w:t>
      </w:r>
      <w:r>
        <w:rPr>
          <w:color w:val="000008"/>
          <w:spacing w:val="-9"/>
          <w:w w:val="99"/>
        </w:rPr>
        <w:t>成交人必须确保其各项监测数据真实有效，并能准确反映监测项目的质量情况。现场</w:t>
      </w:r>
      <w:r>
        <w:rPr>
          <w:color w:val="000008"/>
          <w:spacing w:val="-9"/>
          <w:w w:val="98"/>
        </w:rPr>
        <w:t>取样须符合设计及规范要求，取样分布、分层均匀，成交人违反上述规定要求，造成工程质</w:t>
      </w:r>
      <w:r>
        <w:rPr>
          <w:color w:val="000008"/>
          <w:spacing w:val="-11"/>
        </w:rPr>
        <w:t>量、安全事故的，采购人将依据国家有关规定，追究其责任。</w:t>
      </w:r>
    </w:p>
    <w:p w14:paraId="2DFD21EC">
      <w:pPr>
        <w:pStyle w:val="2"/>
        <w:spacing w:before="2" w:line="206" w:lineRule="auto"/>
        <w:ind w:left="443"/>
      </w:pPr>
      <w:r>
        <w:rPr>
          <w:rFonts w:ascii="Times New Roman" w:hAnsi="Times New Roman" w:eastAsia="Times New Roman" w:cs="Times New Roman"/>
          <w:color w:val="000008"/>
          <w:spacing w:val="-10"/>
        </w:rPr>
        <w:t>7.</w:t>
      </w:r>
      <w:r>
        <w:rPr>
          <w:color w:val="000008"/>
          <w:spacing w:val="-10"/>
        </w:rPr>
        <w:t>所有监测项目均应在验收前完成监测。</w:t>
      </w:r>
    </w:p>
    <w:p w14:paraId="59140C4B">
      <w:pPr>
        <w:pStyle w:val="2"/>
        <w:spacing w:before="174" w:line="207" w:lineRule="auto"/>
        <w:ind w:left="448"/>
      </w:pPr>
      <w:r>
        <w:rPr>
          <w:rFonts w:ascii="Times New Roman" w:hAnsi="Times New Roman" w:eastAsia="Times New Roman" w:cs="Times New Roman"/>
          <w:color w:val="000008"/>
          <w:spacing w:val="-9"/>
          <w:w w:val="99"/>
        </w:rPr>
        <w:t>8.</w:t>
      </w:r>
      <w:r>
        <w:rPr>
          <w:b/>
          <w:bCs/>
          <w:color w:val="000008"/>
          <w:spacing w:val="-9"/>
          <w:w w:val="99"/>
        </w:rPr>
        <w:t>监测单位应根据工程的施工进度情况合理安排监测工期，施工过程中主动跟踪项目进</w:t>
      </w:r>
    </w:p>
    <w:p w14:paraId="6C3F941D">
      <w:pPr>
        <w:spacing w:line="207" w:lineRule="auto"/>
        <w:sectPr>
          <w:pgSz w:w="11900" w:h="16820"/>
          <w:pgMar w:top="1429" w:right="1702" w:bottom="0" w:left="1785" w:header="0" w:footer="0" w:gutter="0"/>
          <w:cols w:space="720" w:num="1"/>
        </w:sectPr>
      </w:pPr>
    </w:p>
    <w:p w14:paraId="27DF26BC">
      <w:pPr>
        <w:pStyle w:val="2"/>
        <w:spacing w:before="198" w:line="318" w:lineRule="auto"/>
        <w:ind w:left="21"/>
        <w:jc w:val="both"/>
      </w:pPr>
      <w:r>
        <w:rPr>
          <w:b/>
          <w:bCs/>
          <w:color w:val="000008"/>
          <w:spacing w:val="-10"/>
          <w:w w:val="98"/>
        </w:rPr>
        <w:t>展情况，</w:t>
      </w:r>
      <w:r>
        <w:rPr>
          <w:b/>
          <w:bCs/>
          <w:color w:val="000008"/>
          <w:spacing w:val="-9"/>
          <w:w w:val="98"/>
        </w:rPr>
        <w:t>根据项目进展情况及时进行监测，如因未主动跟踪项目进展导致监测工作不及时</w:t>
      </w:r>
      <w:r>
        <w:rPr>
          <w:b/>
          <w:bCs/>
          <w:color w:val="000008"/>
          <w:spacing w:val="-5"/>
          <w:w w:val="98"/>
        </w:rPr>
        <w:t>以</w:t>
      </w:r>
      <w:r>
        <w:rPr>
          <w:b/>
          <w:bCs/>
          <w:color w:val="000008"/>
          <w:spacing w:val="-9"/>
          <w:w w:val="98"/>
        </w:rPr>
        <w:t>及监测工作</w:t>
      </w:r>
      <w:r>
        <w:rPr>
          <w:b/>
          <w:bCs/>
          <w:color w:val="000008"/>
          <w:spacing w:val="-8"/>
          <w:w w:val="98"/>
        </w:rPr>
        <w:t>未达到图纸及规范规定的数量、频次、质量等要求，每发现一次监测单位需向</w:t>
      </w:r>
      <w:r>
        <w:rPr>
          <w:b/>
          <w:bCs/>
          <w:color w:val="000008"/>
          <w:spacing w:val="-3"/>
          <w:w w:val="98"/>
        </w:rPr>
        <w:t>采</w:t>
      </w:r>
      <w:r>
        <w:rPr>
          <w:b/>
          <w:bCs/>
          <w:color w:val="000008"/>
          <w:spacing w:val="-9"/>
        </w:rPr>
        <w:t>购人支付合同价的</w:t>
      </w:r>
      <w:r>
        <w:rPr>
          <w:b/>
          <w:bCs/>
          <w:color w:val="000008"/>
          <w:spacing w:val="35"/>
          <w:w w:val="101"/>
        </w:rPr>
        <w:t xml:space="preserve"> </w:t>
      </w:r>
      <w:r>
        <w:rPr>
          <w:rFonts w:ascii="Times New Roman" w:hAnsi="Times New Roman" w:eastAsia="Times New Roman" w:cs="Times New Roman"/>
          <w:b/>
          <w:bCs/>
          <w:color w:val="000008"/>
          <w:spacing w:val="-9"/>
        </w:rPr>
        <w:t xml:space="preserve">3  </w:t>
      </w:r>
      <w:r>
        <w:rPr>
          <w:b/>
          <w:bCs/>
          <w:color w:val="000008"/>
          <w:spacing w:val="-9"/>
        </w:rPr>
        <w:t>％的违约金。结算时监测单位实际完成的监测数量、频次没有</w:t>
      </w:r>
      <w:r>
        <w:rPr>
          <w:b/>
          <w:bCs/>
          <w:color w:val="000008"/>
          <w:spacing w:val="-10"/>
        </w:rPr>
        <w:t>达到图</w:t>
      </w:r>
      <w:r>
        <w:rPr>
          <w:b/>
          <w:bCs/>
          <w:color w:val="000008"/>
          <w:spacing w:val="-11"/>
          <w:w w:val="99"/>
        </w:rPr>
        <w:t>纸及规范要求的</w:t>
      </w:r>
      <w:r>
        <w:rPr>
          <w:b/>
          <w:bCs/>
          <w:color w:val="000008"/>
          <w:spacing w:val="-10"/>
          <w:w w:val="99"/>
        </w:rPr>
        <w:t>，则扣减相应监测费用。监测单位签订合同进场后</w:t>
      </w:r>
      <w:r>
        <w:rPr>
          <w:b/>
          <w:bCs/>
          <w:color w:val="000008"/>
          <w:spacing w:val="-3"/>
        </w:rPr>
        <w:t xml:space="preserve"> </w:t>
      </w:r>
      <w:r>
        <w:rPr>
          <w:rFonts w:ascii="Times New Roman" w:hAnsi="Times New Roman" w:eastAsia="Times New Roman" w:cs="Times New Roman"/>
          <w:b/>
          <w:bCs/>
          <w:color w:val="000008"/>
          <w:spacing w:val="-10"/>
          <w:w w:val="99"/>
        </w:rPr>
        <w:t xml:space="preserve">7 </w:t>
      </w:r>
      <w:r>
        <w:rPr>
          <w:b/>
          <w:bCs/>
          <w:color w:val="000008"/>
          <w:spacing w:val="-10"/>
          <w:w w:val="99"/>
        </w:rPr>
        <w:t>个工作日内向采购人</w:t>
      </w:r>
      <w:r>
        <w:rPr>
          <w:b/>
          <w:bCs/>
          <w:color w:val="000008"/>
          <w:spacing w:val="-3"/>
          <w:w w:val="99"/>
        </w:rPr>
        <w:t>提</w:t>
      </w:r>
      <w:r>
        <w:rPr>
          <w:b/>
          <w:bCs/>
          <w:color w:val="000008"/>
          <w:spacing w:val="-9"/>
          <w:w w:val="99"/>
        </w:rPr>
        <w:t>供监测、检测的工作方案。</w:t>
      </w:r>
    </w:p>
    <w:p w14:paraId="76358ED3">
      <w:pPr>
        <w:pStyle w:val="2"/>
        <w:spacing w:before="1" w:line="207" w:lineRule="auto"/>
        <w:ind w:left="443"/>
      </w:pPr>
      <w:r>
        <w:rPr>
          <w:rFonts w:ascii="Times New Roman" w:hAnsi="Times New Roman" w:eastAsia="Times New Roman" w:cs="Times New Roman"/>
          <w:color w:val="000008"/>
          <w:spacing w:val="-10"/>
        </w:rPr>
        <w:t>9.</w:t>
      </w:r>
      <w:r>
        <w:rPr>
          <w:color w:val="000008"/>
          <w:spacing w:val="-10"/>
        </w:rPr>
        <w:t>成交人的监测结果，要第一时间以书面形式快报给采购人及监理。</w:t>
      </w:r>
    </w:p>
    <w:p w14:paraId="4A955FCA">
      <w:pPr>
        <w:pStyle w:val="2"/>
        <w:spacing w:before="173" w:line="318" w:lineRule="auto"/>
        <w:ind w:left="24" w:firstLine="435"/>
      </w:pPr>
      <w:r>
        <w:rPr>
          <w:rFonts w:ascii="Times New Roman" w:hAnsi="Times New Roman" w:eastAsia="Times New Roman" w:cs="Times New Roman"/>
          <w:color w:val="000008"/>
          <w:spacing w:val="-9"/>
        </w:rPr>
        <w:t>10.</w:t>
      </w:r>
      <w:r>
        <w:rPr>
          <w:color w:val="000008"/>
          <w:spacing w:val="-9"/>
        </w:rPr>
        <w:t>成</w:t>
      </w:r>
      <w:r>
        <w:rPr>
          <w:color w:val="000008"/>
          <w:spacing w:val="-8"/>
        </w:rPr>
        <w:t>交人须定期向采购人汇报月度监测内容及下一步工</w:t>
      </w:r>
      <w:r>
        <w:rPr>
          <w:color w:val="000008"/>
          <w:spacing w:val="-9"/>
        </w:rPr>
        <w:t>作安排，以便使试验监测工</w:t>
      </w:r>
      <w:r>
        <w:rPr>
          <w:color w:val="000008"/>
          <w:spacing w:val="-5"/>
        </w:rPr>
        <w:t>作</w:t>
      </w:r>
      <w:r>
        <w:rPr>
          <w:color w:val="000008"/>
          <w:spacing w:val="-7"/>
          <w:w w:val="98"/>
        </w:rPr>
        <w:t>更好服务于工程施工。</w:t>
      </w:r>
    </w:p>
    <w:p w14:paraId="52AB5367">
      <w:pPr>
        <w:pStyle w:val="2"/>
        <w:spacing w:before="2" w:line="317" w:lineRule="auto"/>
        <w:ind w:left="24" w:right="46" w:firstLine="436"/>
      </w:pPr>
      <w:r>
        <w:rPr>
          <w:rFonts w:ascii="Times New Roman" w:hAnsi="Times New Roman" w:eastAsia="Times New Roman" w:cs="Times New Roman"/>
          <w:color w:val="000008"/>
          <w:spacing w:val="-9"/>
        </w:rPr>
        <w:t>11.</w:t>
      </w:r>
      <w:r>
        <w:rPr>
          <w:color w:val="000008"/>
          <w:spacing w:val="-9"/>
        </w:rPr>
        <w:t>成交人必须配合采购人做好资料备案</w:t>
      </w:r>
      <w:r>
        <w:rPr>
          <w:color w:val="000008"/>
          <w:spacing w:val="-10"/>
        </w:rPr>
        <w:t>工作，监测人员须服从采购人的协调与安排，</w:t>
      </w:r>
      <w:r>
        <w:rPr>
          <w:color w:val="000008"/>
          <w:spacing w:val="-6"/>
          <w:w w:val="98"/>
        </w:rPr>
        <w:t>及时完成采购人临时指派的其他监测任务，按采购人要求参加工程调度会或验收等。</w:t>
      </w:r>
    </w:p>
    <w:p w14:paraId="764A78EE">
      <w:pPr>
        <w:pStyle w:val="2"/>
        <w:spacing w:line="207" w:lineRule="auto"/>
        <w:ind w:left="460"/>
      </w:pPr>
      <w:r>
        <w:rPr>
          <w:rFonts w:ascii="Times New Roman" w:hAnsi="Times New Roman" w:eastAsia="Times New Roman" w:cs="Times New Roman"/>
          <w:color w:val="000008"/>
          <w:spacing w:val="-7"/>
          <w:w w:val="98"/>
        </w:rPr>
        <w:t>12.</w:t>
      </w:r>
      <w:r>
        <w:rPr>
          <w:color w:val="000008"/>
          <w:spacing w:val="-7"/>
          <w:w w:val="98"/>
        </w:rPr>
        <w:t>采购人有权在任何阶段对成交人进行阶段性检查。</w:t>
      </w:r>
    </w:p>
    <w:p w14:paraId="3D169991">
      <w:pPr>
        <w:pStyle w:val="2"/>
        <w:spacing w:before="173" w:line="207" w:lineRule="auto"/>
        <w:ind w:left="460"/>
      </w:pPr>
      <w:r>
        <w:rPr>
          <w:rFonts w:ascii="Times New Roman" w:hAnsi="Times New Roman" w:eastAsia="Times New Roman" w:cs="Times New Roman"/>
          <w:color w:val="000008"/>
          <w:spacing w:val="-10"/>
        </w:rPr>
        <w:t>13.</w:t>
      </w:r>
      <w:r>
        <w:rPr>
          <w:color w:val="000008"/>
          <w:spacing w:val="-10"/>
        </w:rPr>
        <w:t>本项目满足规范要求的所有监测项目</w:t>
      </w:r>
      <w:r>
        <w:rPr>
          <w:color w:val="000008"/>
          <w:spacing w:val="-11"/>
        </w:rPr>
        <w:t>均包含在本次招标范围内。</w:t>
      </w:r>
    </w:p>
    <w:p w14:paraId="2FFB895F">
      <w:pPr>
        <w:pStyle w:val="2"/>
        <w:spacing w:before="174" w:line="318" w:lineRule="auto"/>
        <w:ind w:left="26" w:firstLine="434"/>
      </w:pPr>
      <w:r>
        <w:rPr>
          <w:rFonts w:ascii="Times New Roman" w:hAnsi="Times New Roman" w:eastAsia="Times New Roman" w:cs="Times New Roman"/>
          <w:color w:val="000008"/>
          <w:spacing w:val="-10"/>
          <w:w w:val="98"/>
        </w:rPr>
        <w:t>14.</w:t>
      </w:r>
      <w:r>
        <w:rPr>
          <w:color w:val="000008"/>
          <w:spacing w:val="-10"/>
          <w:w w:val="98"/>
        </w:rPr>
        <w:t>中标单位须遵守并执行国家、省、市和安庆市重点工程建设处等出台的工程建设的相</w:t>
      </w:r>
      <w:r>
        <w:rPr>
          <w:color w:val="000008"/>
          <w:spacing w:val="-9"/>
        </w:rPr>
        <w:t>关监测文件。</w:t>
      </w:r>
    </w:p>
    <w:p w14:paraId="52674CD5">
      <w:pPr>
        <w:pStyle w:val="2"/>
        <w:spacing w:before="2" w:line="206" w:lineRule="auto"/>
        <w:ind w:left="460"/>
      </w:pPr>
      <w:r>
        <w:rPr>
          <w:rFonts w:ascii="Times New Roman" w:hAnsi="Times New Roman" w:eastAsia="Times New Roman" w:cs="Times New Roman"/>
          <w:color w:val="000008"/>
          <w:spacing w:val="-11"/>
        </w:rPr>
        <w:t>15.</w:t>
      </w:r>
      <w:r>
        <w:rPr>
          <w:color w:val="000008"/>
          <w:spacing w:val="-11"/>
        </w:rPr>
        <w:t>为避免重复，施工单位已委托该监测项目的，不得</w:t>
      </w:r>
      <w:r>
        <w:rPr>
          <w:color w:val="000008"/>
          <w:spacing w:val="-12"/>
        </w:rPr>
        <w:t>投标，否则中标无效。</w:t>
      </w:r>
    </w:p>
    <w:p w14:paraId="0D210803">
      <w:pPr>
        <w:pStyle w:val="2"/>
        <w:spacing w:before="174" w:line="318" w:lineRule="auto"/>
        <w:ind w:left="24" w:firstLine="436"/>
      </w:pPr>
      <w:r>
        <w:rPr>
          <w:rFonts w:ascii="Times New Roman" w:hAnsi="Times New Roman" w:eastAsia="Times New Roman" w:cs="Times New Roman"/>
          <w:color w:val="000008"/>
          <w:spacing w:val="-15"/>
        </w:rPr>
        <w:t>16.</w:t>
      </w:r>
      <w:r>
        <w:rPr>
          <w:color w:val="000008"/>
          <w:spacing w:val="-15"/>
        </w:rPr>
        <w:t>符合现行国家、</w:t>
      </w:r>
      <w:r>
        <w:rPr>
          <w:color w:val="000008"/>
          <w:spacing w:val="-14"/>
        </w:rPr>
        <w:t>行业技术标准，设计图纸及国家、省、市建设主管部门的相关文件</w:t>
      </w:r>
      <w:r>
        <w:rPr>
          <w:color w:val="000008"/>
          <w:spacing w:val="-4"/>
        </w:rPr>
        <w:t>规</w:t>
      </w:r>
      <w:r>
        <w:rPr>
          <w:color w:val="000008"/>
          <w:spacing w:val="-11"/>
        </w:rPr>
        <w:t>定，以满足工程施工及验收的需要。</w:t>
      </w:r>
    </w:p>
    <w:p w14:paraId="1D9927E8">
      <w:pPr>
        <w:pStyle w:val="2"/>
        <w:spacing w:before="1" w:line="207" w:lineRule="auto"/>
        <w:ind w:left="445"/>
        <w:outlineLvl w:val="1"/>
      </w:pPr>
      <w:r>
        <w:rPr>
          <w:b/>
          <w:bCs/>
          <w:color w:val="000008"/>
          <w:spacing w:val="-7"/>
          <w:w w:val="98"/>
        </w:rPr>
        <w:t>三、踏勘现场</w:t>
      </w:r>
    </w:p>
    <w:p w14:paraId="680BBA74">
      <w:pPr>
        <w:pStyle w:val="2"/>
        <w:spacing w:before="173" w:line="318" w:lineRule="auto"/>
        <w:ind w:left="24" w:right="1" w:firstLine="420"/>
        <w:jc w:val="both"/>
      </w:pPr>
      <w:r>
        <w:rPr>
          <w:color w:val="000008"/>
          <w:spacing w:val="-8"/>
        </w:rPr>
        <w:t>参</w:t>
      </w:r>
      <w:r>
        <w:rPr>
          <w:color w:val="000008"/>
          <w:spacing w:val="-7"/>
        </w:rPr>
        <w:t>与供应商应自行对工程现场及周围环境进行踏勘以获得有关交易和签署合同所涉</w:t>
      </w:r>
      <w:r>
        <w:rPr>
          <w:color w:val="000008"/>
          <w:spacing w:val="-6"/>
        </w:rPr>
        <w:t>及</w:t>
      </w:r>
      <w:r>
        <w:rPr>
          <w:color w:val="000008"/>
          <w:spacing w:val="-13"/>
        </w:rPr>
        <w:t>现场的资料。踏</w:t>
      </w:r>
      <w:r>
        <w:rPr>
          <w:color w:val="000008"/>
          <w:spacing w:val="-12"/>
        </w:rPr>
        <w:t>勘现场所发生的自身费用由参与供应商自</w:t>
      </w:r>
      <w:r>
        <w:rPr>
          <w:color w:val="000008"/>
          <w:spacing w:val="-13"/>
        </w:rPr>
        <w:t>己承担。经项目单位允许，参与</w:t>
      </w:r>
      <w:r>
        <w:rPr>
          <w:color w:val="000008"/>
          <w:spacing w:val="-6"/>
        </w:rPr>
        <w:t>供</w:t>
      </w:r>
      <w:r>
        <w:rPr>
          <w:color w:val="000008"/>
          <w:spacing w:val="-12"/>
        </w:rPr>
        <w:t>应商可为踏勘目的进入项目单位的项目现场，但参与供应</w:t>
      </w:r>
      <w:r>
        <w:rPr>
          <w:color w:val="000008"/>
          <w:spacing w:val="-13"/>
        </w:rPr>
        <w:t>商不得因此使项目单位承担有关的</w:t>
      </w:r>
      <w:r>
        <w:rPr>
          <w:color w:val="000008"/>
          <w:spacing w:val="-6"/>
          <w:w w:val="98"/>
        </w:rPr>
        <w:t>责任和蒙受损失。参与供应商应承担踏勘现场的责任和风险。</w:t>
      </w:r>
    </w:p>
    <w:p w14:paraId="47A76477">
      <w:pPr>
        <w:pStyle w:val="2"/>
        <w:spacing w:before="1" w:line="326" w:lineRule="auto"/>
        <w:ind w:left="33" w:right="26" w:firstLine="411"/>
      </w:pPr>
      <w:r>
        <w:rPr>
          <w:color w:val="000008"/>
          <w:spacing w:val="-9"/>
          <w:w w:val="98"/>
        </w:rPr>
        <w:t>项目单位向参与供应商提供的所有数据和资料，是项目单位现有的能被参与供应商利用</w:t>
      </w:r>
      <w:r>
        <w:rPr>
          <w:color w:val="000008"/>
          <w:spacing w:val="-11"/>
        </w:rPr>
        <w:t>的资料，项目单位对参与供应商做出的任何推论、理解和结论均不负责任。</w:t>
      </w:r>
    </w:p>
    <w:p w14:paraId="798267CE">
      <w:pPr>
        <w:spacing w:line="326" w:lineRule="auto"/>
        <w:sectPr>
          <w:pgSz w:w="11900" w:h="16820"/>
          <w:pgMar w:top="1429" w:right="1782" w:bottom="0" w:left="1785" w:header="0" w:footer="0" w:gutter="0"/>
          <w:cols w:space="720" w:num="1"/>
        </w:sectPr>
      </w:pPr>
    </w:p>
    <w:p w14:paraId="2C3E85FC">
      <w:pPr>
        <w:spacing w:before="50"/>
      </w:pPr>
    </w:p>
    <w:p w14:paraId="419DF14B">
      <w:pPr>
        <w:spacing w:before="50"/>
      </w:pPr>
    </w:p>
    <w:p w14:paraId="5CC2480A">
      <w:pPr>
        <w:spacing w:before="50"/>
      </w:pPr>
    </w:p>
    <w:tbl>
      <w:tblPr>
        <w:tblStyle w:val="5"/>
        <w:tblW w:w="8521" w:type="dxa"/>
        <w:tblInd w:w="14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81"/>
        <w:gridCol w:w="4393"/>
        <w:gridCol w:w="2847"/>
      </w:tblGrid>
      <w:tr w14:paraId="072FF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7" w:hRule="atLeast"/>
        </w:trPr>
        <w:tc>
          <w:tcPr>
            <w:tcW w:w="1281" w:type="dxa"/>
            <w:vAlign w:val="top"/>
          </w:tcPr>
          <w:p w14:paraId="6791E535">
            <w:pPr>
              <w:pStyle w:val="6"/>
              <w:spacing w:before="258" w:line="208" w:lineRule="auto"/>
              <w:ind w:left="373"/>
            </w:pPr>
            <w:r>
              <w:rPr>
                <w:color w:val="000008"/>
                <w:spacing w:val="-5"/>
              </w:rPr>
              <w:t>序</w:t>
            </w:r>
            <w:r>
              <w:rPr>
                <w:color w:val="000008"/>
                <w:spacing w:val="40"/>
                <w:w w:val="101"/>
              </w:rPr>
              <w:t xml:space="preserve"> </w:t>
            </w:r>
            <w:r>
              <w:rPr>
                <w:color w:val="000008"/>
                <w:spacing w:val="-5"/>
              </w:rPr>
              <w:t>号</w:t>
            </w:r>
          </w:p>
        </w:tc>
        <w:tc>
          <w:tcPr>
            <w:tcW w:w="4393" w:type="dxa"/>
            <w:vAlign w:val="top"/>
          </w:tcPr>
          <w:p w14:paraId="793F27F4">
            <w:pPr>
              <w:pStyle w:val="6"/>
              <w:spacing w:before="258" w:line="207" w:lineRule="auto"/>
              <w:ind w:left="1775"/>
            </w:pPr>
            <w:r>
              <w:rPr>
                <w:color w:val="000008"/>
                <w:spacing w:val="-8"/>
              </w:rPr>
              <w:t>监测项目</w:t>
            </w:r>
          </w:p>
        </w:tc>
        <w:tc>
          <w:tcPr>
            <w:tcW w:w="2847" w:type="dxa"/>
            <w:vAlign w:val="top"/>
          </w:tcPr>
          <w:p w14:paraId="2CECA8E0">
            <w:pPr>
              <w:pStyle w:val="6"/>
              <w:spacing w:before="258" w:line="207" w:lineRule="auto"/>
              <w:ind w:left="901"/>
            </w:pPr>
            <w:r>
              <w:rPr>
                <w:color w:val="000008"/>
                <w:spacing w:val="-4"/>
                <w:w w:val="98"/>
              </w:rPr>
              <w:t>监测点数量</w:t>
            </w:r>
          </w:p>
        </w:tc>
      </w:tr>
      <w:tr w14:paraId="7EC21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7" w:hRule="atLeast"/>
        </w:trPr>
        <w:tc>
          <w:tcPr>
            <w:tcW w:w="1281" w:type="dxa"/>
            <w:vAlign w:val="top"/>
          </w:tcPr>
          <w:p w14:paraId="5ACE6E82">
            <w:pPr>
              <w:spacing w:line="247" w:lineRule="auto"/>
              <w:rPr>
                <w:rFonts w:ascii="Arial"/>
                <w:sz w:val="21"/>
              </w:rPr>
            </w:pPr>
          </w:p>
          <w:p w14:paraId="0E65184F">
            <w:pPr>
              <w:spacing w:before="64" w:line="186" w:lineRule="auto"/>
              <w:ind w:left="605"/>
              <w:rPr>
                <w:rFonts w:ascii="Times New Roman" w:hAnsi="Times New Roman" w:eastAsia="Times New Roman" w:cs="Times New Roman"/>
                <w:sz w:val="22"/>
                <w:szCs w:val="22"/>
              </w:rPr>
            </w:pPr>
            <w:r>
              <w:rPr>
                <w:rFonts w:ascii="Times New Roman" w:hAnsi="Times New Roman" w:eastAsia="Times New Roman" w:cs="Times New Roman"/>
                <w:color w:val="000008"/>
                <w:sz w:val="22"/>
                <w:szCs w:val="22"/>
              </w:rPr>
              <w:t>1</w:t>
            </w:r>
          </w:p>
        </w:tc>
        <w:tc>
          <w:tcPr>
            <w:tcW w:w="4393" w:type="dxa"/>
            <w:vAlign w:val="top"/>
          </w:tcPr>
          <w:p w14:paraId="0B0BF1BA">
            <w:pPr>
              <w:pStyle w:val="6"/>
              <w:spacing w:before="251" w:line="207" w:lineRule="auto"/>
              <w:ind w:left="1143"/>
            </w:pPr>
            <w:r>
              <w:rPr>
                <w:color w:val="000008"/>
                <w:spacing w:val="-5"/>
                <w:w w:val="98"/>
              </w:rPr>
              <w:t>坡顶桩顶水平位移监测</w:t>
            </w:r>
          </w:p>
        </w:tc>
        <w:tc>
          <w:tcPr>
            <w:tcW w:w="2847" w:type="dxa"/>
            <w:vAlign w:val="top"/>
          </w:tcPr>
          <w:p w14:paraId="45103ADF">
            <w:pPr>
              <w:spacing w:line="247" w:lineRule="auto"/>
              <w:rPr>
                <w:rFonts w:ascii="Arial"/>
                <w:sz w:val="21"/>
              </w:rPr>
            </w:pPr>
          </w:p>
          <w:p w14:paraId="3642B09D">
            <w:pPr>
              <w:spacing w:before="63" w:line="186" w:lineRule="auto"/>
              <w:ind w:left="1331"/>
              <w:rPr>
                <w:rFonts w:ascii="Times New Roman" w:hAnsi="Times New Roman" w:eastAsia="Times New Roman" w:cs="Times New Roman"/>
                <w:sz w:val="22"/>
                <w:szCs w:val="22"/>
              </w:rPr>
            </w:pPr>
            <w:r>
              <w:rPr>
                <w:rFonts w:ascii="Times New Roman" w:hAnsi="Times New Roman" w:eastAsia="Times New Roman" w:cs="Times New Roman"/>
                <w:color w:val="000008"/>
                <w:spacing w:val="-5"/>
                <w:sz w:val="22"/>
                <w:szCs w:val="22"/>
              </w:rPr>
              <w:t>34</w:t>
            </w:r>
          </w:p>
        </w:tc>
      </w:tr>
      <w:tr w14:paraId="5939EE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7" w:hRule="atLeast"/>
        </w:trPr>
        <w:tc>
          <w:tcPr>
            <w:tcW w:w="1281" w:type="dxa"/>
            <w:vAlign w:val="top"/>
          </w:tcPr>
          <w:p w14:paraId="63BF6DB3">
            <w:pPr>
              <w:spacing w:line="250" w:lineRule="auto"/>
              <w:rPr>
                <w:rFonts w:ascii="Arial"/>
                <w:sz w:val="21"/>
              </w:rPr>
            </w:pPr>
          </w:p>
          <w:p w14:paraId="2E224BA1">
            <w:pPr>
              <w:spacing w:before="63" w:line="186" w:lineRule="auto"/>
              <w:ind w:left="584"/>
              <w:rPr>
                <w:rFonts w:ascii="Times New Roman" w:hAnsi="Times New Roman" w:eastAsia="Times New Roman" w:cs="Times New Roman"/>
                <w:sz w:val="22"/>
                <w:szCs w:val="22"/>
              </w:rPr>
            </w:pPr>
            <w:r>
              <w:rPr>
                <w:rFonts w:ascii="Times New Roman" w:hAnsi="Times New Roman" w:eastAsia="Times New Roman" w:cs="Times New Roman"/>
                <w:color w:val="000008"/>
                <w:sz w:val="22"/>
                <w:szCs w:val="22"/>
              </w:rPr>
              <w:t>2</w:t>
            </w:r>
          </w:p>
        </w:tc>
        <w:tc>
          <w:tcPr>
            <w:tcW w:w="4393" w:type="dxa"/>
            <w:vAlign w:val="top"/>
          </w:tcPr>
          <w:p w14:paraId="50308381">
            <w:pPr>
              <w:pStyle w:val="6"/>
              <w:spacing w:before="254" w:line="205" w:lineRule="auto"/>
              <w:ind w:left="1353"/>
            </w:pPr>
            <w:r>
              <w:rPr>
                <w:color w:val="000008"/>
                <w:spacing w:val="-9"/>
              </w:rPr>
              <w:t>坡顶竖向位移监测</w:t>
            </w:r>
          </w:p>
        </w:tc>
        <w:tc>
          <w:tcPr>
            <w:tcW w:w="2847" w:type="dxa"/>
            <w:vAlign w:val="top"/>
          </w:tcPr>
          <w:p w14:paraId="210934F6">
            <w:pPr>
              <w:spacing w:line="250" w:lineRule="auto"/>
              <w:rPr>
                <w:rFonts w:ascii="Arial"/>
                <w:sz w:val="21"/>
              </w:rPr>
            </w:pPr>
          </w:p>
          <w:p w14:paraId="23663161">
            <w:pPr>
              <w:spacing w:before="63" w:line="186" w:lineRule="auto"/>
              <w:ind w:left="1331"/>
              <w:rPr>
                <w:rFonts w:ascii="Times New Roman" w:hAnsi="Times New Roman" w:eastAsia="Times New Roman" w:cs="Times New Roman"/>
                <w:sz w:val="22"/>
                <w:szCs w:val="22"/>
              </w:rPr>
            </w:pPr>
            <w:r>
              <w:rPr>
                <w:rFonts w:ascii="Times New Roman" w:hAnsi="Times New Roman" w:eastAsia="Times New Roman" w:cs="Times New Roman"/>
                <w:color w:val="000008"/>
                <w:spacing w:val="-5"/>
                <w:sz w:val="22"/>
                <w:szCs w:val="22"/>
              </w:rPr>
              <w:t>34</w:t>
            </w:r>
          </w:p>
        </w:tc>
      </w:tr>
      <w:tr w14:paraId="4CF600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7" w:hRule="atLeast"/>
        </w:trPr>
        <w:tc>
          <w:tcPr>
            <w:tcW w:w="1281" w:type="dxa"/>
            <w:vAlign w:val="top"/>
          </w:tcPr>
          <w:p w14:paraId="7555C2E8">
            <w:pPr>
              <w:spacing w:line="253" w:lineRule="auto"/>
              <w:rPr>
                <w:rFonts w:ascii="Arial"/>
                <w:sz w:val="21"/>
              </w:rPr>
            </w:pPr>
          </w:p>
          <w:p w14:paraId="105F68C3">
            <w:pPr>
              <w:spacing w:before="63" w:line="186" w:lineRule="auto"/>
              <w:ind w:left="589"/>
              <w:rPr>
                <w:rFonts w:ascii="Times New Roman" w:hAnsi="Times New Roman" w:eastAsia="Times New Roman" w:cs="Times New Roman"/>
                <w:sz w:val="22"/>
                <w:szCs w:val="22"/>
              </w:rPr>
            </w:pPr>
            <w:r>
              <w:rPr>
                <w:rFonts w:ascii="Times New Roman" w:hAnsi="Times New Roman" w:eastAsia="Times New Roman" w:cs="Times New Roman"/>
                <w:color w:val="000008"/>
                <w:sz w:val="22"/>
                <w:szCs w:val="22"/>
              </w:rPr>
              <w:t>3</w:t>
            </w:r>
          </w:p>
        </w:tc>
        <w:tc>
          <w:tcPr>
            <w:tcW w:w="4393" w:type="dxa"/>
            <w:vAlign w:val="top"/>
          </w:tcPr>
          <w:p w14:paraId="455D770D">
            <w:pPr>
              <w:pStyle w:val="6"/>
              <w:spacing w:before="257" w:line="203" w:lineRule="auto"/>
              <w:ind w:left="1356"/>
            </w:pPr>
            <w:r>
              <w:rPr>
                <w:color w:val="000008"/>
                <w:spacing w:val="-4"/>
                <w:w w:val="97"/>
              </w:rPr>
              <w:t>深层水平位移监测</w:t>
            </w:r>
          </w:p>
        </w:tc>
        <w:tc>
          <w:tcPr>
            <w:tcW w:w="2847" w:type="dxa"/>
            <w:vAlign w:val="top"/>
          </w:tcPr>
          <w:p w14:paraId="5C7A3A13">
            <w:pPr>
              <w:spacing w:line="253" w:lineRule="auto"/>
              <w:rPr>
                <w:rFonts w:ascii="Arial"/>
                <w:sz w:val="21"/>
              </w:rPr>
            </w:pPr>
          </w:p>
          <w:p w14:paraId="600C0D48">
            <w:pPr>
              <w:spacing w:before="63" w:line="186" w:lineRule="auto"/>
              <w:ind w:left="1382"/>
              <w:rPr>
                <w:rFonts w:ascii="Times New Roman" w:hAnsi="Times New Roman" w:eastAsia="Times New Roman" w:cs="Times New Roman"/>
                <w:sz w:val="22"/>
                <w:szCs w:val="22"/>
              </w:rPr>
            </w:pPr>
            <w:r>
              <w:rPr>
                <w:rFonts w:ascii="Times New Roman" w:hAnsi="Times New Roman" w:eastAsia="Times New Roman" w:cs="Times New Roman"/>
                <w:color w:val="000008"/>
                <w:sz w:val="22"/>
                <w:szCs w:val="22"/>
              </w:rPr>
              <w:t>8</w:t>
            </w:r>
          </w:p>
        </w:tc>
      </w:tr>
      <w:tr w14:paraId="7114A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 w:hRule="atLeast"/>
        </w:trPr>
        <w:tc>
          <w:tcPr>
            <w:tcW w:w="1281" w:type="dxa"/>
            <w:vAlign w:val="top"/>
          </w:tcPr>
          <w:p w14:paraId="1A0CEFBD">
            <w:pPr>
              <w:spacing w:line="256" w:lineRule="auto"/>
              <w:rPr>
                <w:rFonts w:ascii="Arial"/>
                <w:sz w:val="21"/>
              </w:rPr>
            </w:pPr>
          </w:p>
          <w:p w14:paraId="0ADE4B47">
            <w:pPr>
              <w:spacing w:before="63" w:line="186" w:lineRule="auto"/>
              <w:ind w:left="583"/>
              <w:rPr>
                <w:rFonts w:ascii="Times New Roman" w:hAnsi="Times New Roman" w:eastAsia="Times New Roman" w:cs="Times New Roman"/>
                <w:sz w:val="22"/>
                <w:szCs w:val="22"/>
              </w:rPr>
            </w:pPr>
            <w:r>
              <w:rPr>
                <w:rFonts w:ascii="Times New Roman" w:hAnsi="Times New Roman" w:eastAsia="Times New Roman" w:cs="Times New Roman"/>
                <w:color w:val="000008"/>
                <w:sz w:val="22"/>
                <w:szCs w:val="22"/>
              </w:rPr>
              <w:t>4</w:t>
            </w:r>
          </w:p>
        </w:tc>
        <w:tc>
          <w:tcPr>
            <w:tcW w:w="4393" w:type="dxa"/>
            <w:vAlign w:val="top"/>
          </w:tcPr>
          <w:p w14:paraId="3B132BB0">
            <w:pPr>
              <w:pStyle w:val="6"/>
              <w:spacing w:before="260" w:line="202" w:lineRule="auto"/>
              <w:ind w:left="1562"/>
            </w:pPr>
            <w:r>
              <w:rPr>
                <w:color w:val="000008"/>
                <w:spacing w:val="-3"/>
                <w:w w:val="97"/>
              </w:rPr>
              <w:t>地表沉降观测</w:t>
            </w:r>
          </w:p>
        </w:tc>
        <w:tc>
          <w:tcPr>
            <w:tcW w:w="2847" w:type="dxa"/>
            <w:vAlign w:val="top"/>
          </w:tcPr>
          <w:p w14:paraId="41BAB0C3">
            <w:pPr>
              <w:spacing w:line="256" w:lineRule="auto"/>
              <w:rPr>
                <w:rFonts w:ascii="Arial"/>
                <w:sz w:val="21"/>
              </w:rPr>
            </w:pPr>
          </w:p>
          <w:p w14:paraId="31EA65D5">
            <w:pPr>
              <w:spacing w:before="63" w:line="186" w:lineRule="auto"/>
              <w:ind w:left="1300"/>
              <w:rPr>
                <w:rFonts w:ascii="Times New Roman" w:hAnsi="Times New Roman" w:eastAsia="Times New Roman" w:cs="Times New Roman"/>
                <w:sz w:val="22"/>
                <w:szCs w:val="22"/>
              </w:rPr>
            </w:pPr>
            <w:r>
              <w:rPr>
                <w:rFonts w:ascii="Times New Roman" w:hAnsi="Times New Roman" w:eastAsia="Times New Roman" w:cs="Times New Roman"/>
                <w:color w:val="000008"/>
                <w:spacing w:val="-14"/>
                <w:sz w:val="22"/>
                <w:szCs w:val="22"/>
              </w:rPr>
              <w:t>170</w:t>
            </w:r>
          </w:p>
        </w:tc>
      </w:tr>
      <w:tr w14:paraId="77B7AF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 w:hRule="atLeast"/>
        </w:trPr>
        <w:tc>
          <w:tcPr>
            <w:tcW w:w="1281" w:type="dxa"/>
            <w:vAlign w:val="top"/>
          </w:tcPr>
          <w:p w14:paraId="7C83FB0A">
            <w:pPr>
              <w:spacing w:line="261" w:lineRule="auto"/>
              <w:rPr>
                <w:rFonts w:ascii="Arial"/>
                <w:sz w:val="21"/>
              </w:rPr>
            </w:pPr>
          </w:p>
          <w:p w14:paraId="791828F7">
            <w:pPr>
              <w:spacing w:before="63" w:line="183" w:lineRule="auto"/>
              <w:ind w:left="590"/>
              <w:rPr>
                <w:rFonts w:ascii="Times New Roman" w:hAnsi="Times New Roman" w:eastAsia="Times New Roman" w:cs="Times New Roman"/>
                <w:sz w:val="22"/>
                <w:szCs w:val="22"/>
              </w:rPr>
            </w:pPr>
            <w:r>
              <w:rPr>
                <w:rFonts w:ascii="Times New Roman" w:hAnsi="Times New Roman" w:eastAsia="Times New Roman" w:cs="Times New Roman"/>
                <w:color w:val="000008"/>
                <w:sz w:val="22"/>
                <w:szCs w:val="22"/>
              </w:rPr>
              <w:t>5</w:t>
            </w:r>
          </w:p>
        </w:tc>
        <w:tc>
          <w:tcPr>
            <w:tcW w:w="4393" w:type="dxa"/>
            <w:vAlign w:val="top"/>
          </w:tcPr>
          <w:p w14:paraId="48E2E490">
            <w:pPr>
              <w:pStyle w:val="6"/>
              <w:spacing w:before="261" w:line="201" w:lineRule="auto"/>
              <w:ind w:left="1147"/>
            </w:pPr>
            <w:r>
              <w:rPr>
                <w:color w:val="000008"/>
                <w:spacing w:val="-9"/>
                <w:w w:val="99"/>
              </w:rPr>
              <w:t>周边建筑竖向位移监测</w:t>
            </w:r>
          </w:p>
        </w:tc>
        <w:tc>
          <w:tcPr>
            <w:tcW w:w="2847" w:type="dxa"/>
            <w:vAlign w:val="top"/>
          </w:tcPr>
          <w:p w14:paraId="0A05C644">
            <w:pPr>
              <w:spacing w:line="258" w:lineRule="auto"/>
              <w:rPr>
                <w:rFonts w:ascii="Arial"/>
                <w:sz w:val="21"/>
              </w:rPr>
            </w:pPr>
          </w:p>
          <w:p w14:paraId="64F0F06E">
            <w:pPr>
              <w:spacing w:before="63" w:line="186" w:lineRule="auto"/>
              <w:ind w:left="1332"/>
              <w:rPr>
                <w:rFonts w:ascii="Times New Roman" w:hAnsi="Times New Roman" w:eastAsia="Times New Roman" w:cs="Times New Roman"/>
                <w:sz w:val="22"/>
                <w:szCs w:val="22"/>
              </w:rPr>
            </w:pPr>
            <w:r>
              <w:rPr>
                <w:rFonts w:ascii="Times New Roman" w:hAnsi="Times New Roman" w:eastAsia="Times New Roman" w:cs="Times New Roman"/>
                <w:color w:val="000008"/>
                <w:spacing w:val="-6"/>
                <w:sz w:val="22"/>
                <w:szCs w:val="22"/>
              </w:rPr>
              <w:t>50</w:t>
            </w:r>
          </w:p>
        </w:tc>
      </w:tr>
      <w:tr w14:paraId="12BB23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 w:hRule="atLeast"/>
        </w:trPr>
        <w:tc>
          <w:tcPr>
            <w:tcW w:w="1281" w:type="dxa"/>
            <w:tcBorders>
              <w:bottom w:val="single" w:color="000000" w:sz="6" w:space="0"/>
            </w:tcBorders>
            <w:vAlign w:val="top"/>
          </w:tcPr>
          <w:p w14:paraId="1544CE15">
            <w:pPr>
              <w:spacing w:line="260" w:lineRule="auto"/>
              <w:rPr>
                <w:rFonts w:ascii="Arial"/>
                <w:sz w:val="21"/>
              </w:rPr>
            </w:pPr>
          </w:p>
          <w:p w14:paraId="63A2CBAF">
            <w:pPr>
              <w:spacing w:before="63" w:line="186" w:lineRule="auto"/>
              <w:ind w:left="589"/>
              <w:rPr>
                <w:rFonts w:ascii="Times New Roman" w:hAnsi="Times New Roman" w:eastAsia="Times New Roman" w:cs="Times New Roman"/>
                <w:sz w:val="22"/>
                <w:szCs w:val="22"/>
              </w:rPr>
            </w:pPr>
            <w:r>
              <w:rPr>
                <w:rFonts w:ascii="Times New Roman" w:hAnsi="Times New Roman" w:eastAsia="Times New Roman" w:cs="Times New Roman"/>
                <w:color w:val="000008"/>
                <w:sz w:val="22"/>
                <w:szCs w:val="22"/>
              </w:rPr>
              <w:t>6</w:t>
            </w:r>
          </w:p>
        </w:tc>
        <w:tc>
          <w:tcPr>
            <w:tcW w:w="4393" w:type="dxa"/>
            <w:tcBorders>
              <w:bottom w:val="single" w:color="000000" w:sz="6" w:space="0"/>
            </w:tcBorders>
            <w:vAlign w:val="top"/>
          </w:tcPr>
          <w:p w14:paraId="4A387D15">
            <w:pPr>
              <w:pStyle w:val="6"/>
              <w:spacing w:before="265" w:line="199" w:lineRule="auto"/>
              <w:ind w:left="1565"/>
            </w:pPr>
            <w:r>
              <w:rPr>
                <w:color w:val="000008"/>
                <w:spacing w:val="-5"/>
                <w:w w:val="98"/>
              </w:rPr>
              <w:t>支撑轴力监测</w:t>
            </w:r>
          </w:p>
        </w:tc>
        <w:tc>
          <w:tcPr>
            <w:tcW w:w="2847" w:type="dxa"/>
            <w:tcBorders>
              <w:bottom w:val="single" w:color="000000" w:sz="6" w:space="0"/>
            </w:tcBorders>
            <w:vAlign w:val="top"/>
          </w:tcPr>
          <w:p w14:paraId="2ECB9E5C">
            <w:pPr>
              <w:spacing w:line="263" w:lineRule="auto"/>
              <w:rPr>
                <w:rFonts w:ascii="Arial"/>
                <w:sz w:val="21"/>
              </w:rPr>
            </w:pPr>
          </w:p>
          <w:p w14:paraId="27D39FD6">
            <w:pPr>
              <w:spacing w:before="63" w:line="183" w:lineRule="auto"/>
              <w:ind w:left="1379"/>
              <w:rPr>
                <w:rFonts w:ascii="Times New Roman" w:hAnsi="Times New Roman" w:eastAsia="Times New Roman" w:cs="Times New Roman"/>
                <w:sz w:val="22"/>
                <w:szCs w:val="22"/>
              </w:rPr>
            </w:pPr>
            <w:r>
              <w:rPr>
                <w:rFonts w:ascii="Times New Roman" w:hAnsi="Times New Roman" w:eastAsia="Times New Roman" w:cs="Times New Roman"/>
                <w:color w:val="000008"/>
                <w:sz w:val="22"/>
                <w:szCs w:val="22"/>
              </w:rPr>
              <w:t>5</w:t>
            </w:r>
          </w:p>
        </w:tc>
      </w:tr>
      <w:tr w14:paraId="0C585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atLeast"/>
        </w:trPr>
        <w:tc>
          <w:tcPr>
            <w:tcW w:w="1281" w:type="dxa"/>
            <w:tcBorders>
              <w:top w:val="single" w:color="000000" w:sz="6" w:space="0"/>
            </w:tcBorders>
            <w:vAlign w:val="top"/>
          </w:tcPr>
          <w:p w14:paraId="5827B08A">
            <w:pPr>
              <w:spacing w:line="270" w:lineRule="auto"/>
              <w:rPr>
                <w:rFonts w:ascii="Arial"/>
                <w:sz w:val="21"/>
              </w:rPr>
            </w:pPr>
          </w:p>
          <w:p w14:paraId="4550729A">
            <w:pPr>
              <w:spacing w:before="63" w:line="183" w:lineRule="auto"/>
              <w:ind w:left="588"/>
              <w:rPr>
                <w:rFonts w:ascii="Times New Roman" w:hAnsi="Times New Roman" w:eastAsia="Times New Roman" w:cs="Times New Roman"/>
                <w:sz w:val="22"/>
                <w:szCs w:val="22"/>
              </w:rPr>
            </w:pPr>
            <w:r>
              <w:rPr>
                <w:rFonts w:ascii="Times New Roman" w:hAnsi="Times New Roman" w:eastAsia="Times New Roman" w:cs="Times New Roman"/>
                <w:color w:val="000008"/>
                <w:sz w:val="22"/>
                <w:szCs w:val="22"/>
              </w:rPr>
              <w:t>7</w:t>
            </w:r>
          </w:p>
        </w:tc>
        <w:tc>
          <w:tcPr>
            <w:tcW w:w="4393" w:type="dxa"/>
            <w:tcBorders>
              <w:top w:val="single" w:color="000000" w:sz="6" w:space="0"/>
            </w:tcBorders>
            <w:vAlign w:val="top"/>
          </w:tcPr>
          <w:p w14:paraId="46675B45">
            <w:pPr>
              <w:pStyle w:val="6"/>
              <w:spacing w:before="271" w:line="204" w:lineRule="auto"/>
              <w:ind w:left="1773"/>
            </w:pPr>
            <w:r>
              <w:rPr>
                <w:color w:val="000008"/>
                <w:spacing w:val="-4"/>
                <w:w w:val="98"/>
              </w:rPr>
              <w:t>水位观测</w:t>
            </w:r>
          </w:p>
        </w:tc>
        <w:tc>
          <w:tcPr>
            <w:tcW w:w="2847" w:type="dxa"/>
            <w:tcBorders>
              <w:top w:val="single" w:color="000000" w:sz="6" w:space="0"/>
            </w:tcBorders>
            <w:vAlign w:val="top"/>
          </w:tcPr>
          <w:p w14:paraId="0E3F5086">
            <w:pPr>
              <w:spacing w:line="270" w:lineRule="auto"/>
              <w:rPr>
                <w:rFonts w:ascii="Arial"/>
                <w:sz w:val="21"/>
              </w:rPr>
            </w:pPr>
          </w:p>
          <w:p w14:paraId="74AED6DD">
            <w:pPr>
              <w:spacing w:before="63" w:line="183" w:lineRule="auto"/>
              <w:ind w:left="1377"/>
              <w:rPr>
                <w:rFonts w:ascii="Times New Roman" w:hAnsi="Times New Roman" w:eastAsia="Times New Roman" w:cs="Times New Roman"/>
                <w:sz w:val="22"/>
                <w:szCs w:val="22"/>
              </w:rPr>
            </w:pPr>
            <w:r>
              <w:rPr>
                <w:rFonts w:ascii="Times New Roman" w:hAnsi="Times New Roman" w:eastAsia="Times New Roman" w:cs="Times New Roman"/>
                <w:color w:val="000008"/>
                <w:sz w:val="22"/>
                <w:szCs w:val="22"/>
              </w:rPr>
              <w:t>7</w:t>
            </w:r>
          </w:p>
        </w:tc>
      </w:tr>
    </w:tbl>
    <w:p w14:paraId="3E855471">
      <w:pPr>
        <w:spacing w:line="289" w:lineRule="auto"/>
        <w:rPr>
          <w:rFonts w:ascii="Arial"/>
          <w:sz w:val="21"/>
        </w:rPr>
      </w:pPr>
    </w:p>
    <w:p w14:paraId="7524B7AF">
      <w:pPr>
        <w:spacing w:line="289" w:lineRule="auto"/>
        <w:rPr>
          <w:rFonts w:ascii="Arial"/>
          <w:sz w:val="21"/>
        </w:rPr>
      </w:pPr>
    </w:p>
    <w:p w14:paraId="717E374D">
      <w:pPr>
        <w:spacing w:line="290" w:lineRule="auto"/>
        <w:rPr>
          <w:rFonts w:ascii="Arial"/>
          <w:sz w:val="21"/>
        </w:rPr>
      </w:pPr>
    </w:p>
    <w:p w14:paraId="4FFC4C3A">
      <w:pPr>
        <w:spacing w:line="290" w:lineRule="auto"/>
        <w:rPr>
          <w:rFonts w:ascii="Arial"/>
          <w:sz w:val="21"/>
        </w:rPr>
      </w:pPr>
    </w:p>
    <w:p w14:paraId="3323A4FC">
      <w:pPr>
        <w:pStyle w:val="2"/>
        <w:spacing w:before="94" w:line="296" w:lineRule="auto"/>
        <w:ind w:left="25" w:right="7520"/>
      </w:pPr>
      <w:r>
        <w:rPr>
          <w:color w:val="000008"/>
          <w:spacing w:val="-4"/>
          <w:w w:val="97"/>
        </w:rPr>
        <w:t>基坑监测汇总表沉降观测汇总表</w:t>
      </w:r>
    </w:p>
    <w:tbl>
      <w:tblPr>
        <w:tblStyle w:val="5"/>
        <w:tblW w:w="8849" w:type="dxa"/>
        <w:tblInd w:w="15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07"/>
        <w:gridCol w:w="4331"/>
        <w:gridCol w:w="3211"/>
      </w:tblGrid>
      <w:tr w14:paraId="072241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 w:hRule="atLeast"/>
        </w:trPr>
        <w:tc>
          <w:tcPr>
            <w:tcW w:w="1307" w:type="dxa"/>
            <w:vAlign w:val="top"/>
          </w:tcPr>
          <w:p w14:paraId="0158FDFD">
            <w:pPr>
              <w:pStyle w:val="6"/>
              <w:spacing w:before="259" w:line="204" w:lineRule="auto"/>
              <w:ind w:left="386"/>
            </w:pPr>
            <w:r>
              <w:rPr>
                <w:color w:val="000008"/>
                <w:spacing w:val="-5"/>
              </w:rPr>
              <w:t>序</w:t>
            </w:r>
            <w:r>
              <w:rPr>
                <w:color w:val="000008"/>
                <w:spacing w:val="40"/>
                <w:w w:val="101"/>
              </w:rPr>
              <w:t xml:space="preserve"> </w:t>
            </w:r>
            <w:r>
              <w:rPr>
                <w:color w:val="000008"/>
                <w:spacing w:val="-5"/>
              </w:rPr>
              <w:t>号</w:t>
            </w:r>
          </w:p>
        </w:tc>
        <w:tc>
          <w:tcPr>
            <w:tcW w:w="4331" w:type="dxa"/>
            <w:vAlign w:val="top"/>
          </w:tcPr>
          <w:p w14:paraId="3E732313">
            <w:pPr>
              <w:pStyle w:val="6"/>
              <w:spacing w:before="259" w:line="204" w:lineRule="auto"/>
              <w:ind w:left="1741"/>
            </w:pPr>
            <w:r>
              <w:rPr>
                <w:color w:val="000008"/>
                <w:spacing w:val="-8"/>
              </w:rPr>
              <w:t>观测项目</w:t>
            </w:r>
          </w:p>
        </w:tc>
        <w:tc>
          <w:tcPr>
            <w:tcW w:w="3211" w:type="dxa"/>
            <w:vAlign w:val="top"/>
          </w:tcPr>
          <w:p w14:paraId="1AD0E6E3">
            <w:pPr>
              <w:pStyle w:val="6"/>
              <w:spacing w:before="259" w:line="204" w:lineRule="auto"/>
              <w:ind w:left="1082"/>
            </w:pPr>
            <w:r>
              <w:rPr>
                <w:color w:val="000008"/>
                <w:spacing w:val="-4"/>
                <w:w w:val="98"/>
              </w:rPr>
              <w:t>监测点数量</w:t>
            </w:r>
          </w:p>
        </w:tc>
      </w:tr>
      <w:tr w14:paraId="5AF2BA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 w:hRule="atLeast"/>
        </w:trPr>
        <w:tc>
          <w:tcPr>
            <w:tcW w:w="1307" w:type="dxa"/>
            <w:vAlign w:val="top"/>
          </w:tcPr>
          <w:p w14:paraId="5D021E14">
            <w:pPr>
              <w:spacing w:line="254" w:lineRule="auto"/>
              <w:rPr>
                <w:rFonts w:ascii="Arial"/>
                <w:sz w:val="21"/>
              </w:rPr>
            </w:pPr>
          </w:p>
          <w:p w14:paraId="46CFCC21">
            <w:pPr>
              <w:spacing w:before="63" w:line="186" w:lineRule="auto"/>
              <w:ind w:left="618"/>
              <w:rPr>
                <w:rFonts w:ascii="Times New Roman" w:hAnsi="Times New Roman" w:eastAsia="Times New Roman" w:cs="Times New Roman"/>
                <w:sz w:val="22"/>
                <w:szCs w:val="22"/>
              </w:rPr>
            </w:pPr>
            <w:r>
              <w:rPr>
                <w:rFonts w:ascii="Times New Roman" w:hAnsi="Times New Roman" w:eastAsia="Times New Roman" w:cs="Times New Roman"/>
                <w:color w:val="000008"/>
                <w:sz w:val="22"/>
                <w:szCs w:val="22"/>
              </w:rPr>
              <w:t>1</w:t>
            </w:r>
          </w:p>
        </w:tc>
        <w:tc>
          <w:tcPr>
            <w:tcW w:w="4331" w:type="dxa"/>
            <w:vAlign w:val="top"/>
          </w:tcPr>
          <w:p w14:paraId="3577D030">
            <w:pPr>
              <w:pStyle w:val="6"/>
              <w:spacing w:before="259" w:line="204" w:lineRule="auto"/>
              <w:ind w:left="1430"/>
            </w:pPr>
            <w:r>
              <w:rPr>
                <w:color w:val="000008"/>
                <w:spacing w:val="-3"/>
                <w:w w:val="97"/>
              </w:rPr>
              <w:t>建筑物沉降观测</w:t>
            </w:r>
          </w:p>
        </w:tc>
        <w:tc>
          <w:tcPr>
            <w:tcW w:w="3211" w:type="dxa"/>
            <w:vAlign w:val="top"/>
          </w:tcPr>
          <w:p w14:paraId="0C1DB0D9">
            <w:pPr>
              <w:spacing w:line="254" w:lineRule="auto"/>
              <w:rPr>
                <w:rFonts w:ascii="Arial"/>
                <w:sz w:val="21"/>
              </w:rPr>
            </w:pPr>
          </w:p>
          <w:p w14:paraId="6D79EA62">
            <w:pPr>
              <w:spacing w:before="63" w:line="186" w:lineRule="auto"/>
              <w:ind w:left="1513"/>
              <w:rPr>
                <w:rFonts w:ascii="Times New Roman" w:hAnsi="Times New Roman" w:eastAsia="Times New Roman" w:cs="Times New Roman"/>
                <w:sz w:val="22"/>
                <w:szCs w:val="22"/>
              </w:rPr>
            </w:pPr>
            <w:r>
              <w:rPr>
                <w:rFonts w:ascii="Times New Roman" w:hAnsi="Times New Roman" w:eastAsia="Times New Roman" w:cs="Times New Roman"/>
                <w:color w:val="000008"/>
                <w:spacing w:val="-6"/>
                <w:sz w:val="22"/>
                <w:szCs w:val="22"/>
              </w:rPr>
              <w:t>50</w:t>
            </w:r>
          </w:p>
        </w:tc>
      </w:tr>
    </w:tbl>
    <w:p w14:paraId="2D975B9B">
      <w:pPr>
        <w:pStyle w:val="2"/>
        <w:spacing w:before="322" w:line="198" w:lineRule="auto"/>
        <w:ind w:left="23"/>
      </w:pPr>
      <w:r>
        <w:rPr>
          <w:b/>
          <w:bCs/>
          <w:color w:val="000008"/>
          <w:spacing w:val="-7"/>
        </w:rPr>
        <w:t>备注：</w:t>
      </w:r>
    </w:p>
    <w:p w14:paraId="271DC776">
      <w:pPr>
        <w:pStyle w:val="2"/>
        <w:spacing w:before="1" w:line="198" w:lineRule="auto"/>
        <w:ind w:left="24" w:right="685" w:firstLine="5"/>
      </w:pPr>
      <w:r>
        <w:rPr>
          <w:rFonts w:ascii="Times New Roman" w:hAnsi="Times New Roman" w:eastAsia="Times New Roman" w:cs="Times New Roman"/>
          <w:b/>
          <w:bCs/>
          <w:color w:val="000008"/>
          <w:spacing w:val="-11"/>
        </w:rPr>
        <w:t>1.</w:t>
      </w:r>
      <w:r>
        <w:rPr>
          <w:b/>
          <w:bCs/>
          <w:color w:val="000008"/>
          <w:spacing w:val="-11"/>
        </w:rPr>
        <w:t>监测范围包括但不限于以上内容，具体监测要求详见图纸及相关规范，监测范围和监测报</w:t>
      </w:r>
      <w:r>
        <w:rPr>
          <w:b/>
          <w:bCs/>
          <w:color w:val="000008"/>
          <w:spacing w:val="-6"/>
          <w:w w:val="98"/>
        </w:rPr>
        <w:t>告应满足行业主管部门验收要求。</w:t>
      </w:r>
    </w:p>
    <w:p w14:paraId="5D4FFCEF">
      <w:pPr>
        <w:pStyle w:val="2"/>
        <w:spacing w:before="2" w:line="198" w:lineRule="auto"/>
        <w:ind w:left="22" w:right="684" w:hanging="2"/>
      </w:pPr>
      <w:r>
        <w:rPr>
          <w:rFonts w:ascii="Times New Roman" w:hAnsi="Times New Roman" w:eastAsia="Times New Roman" w:cs="Times New Roman"/>
          <w:b/>
          <w:bCs/>
          <w:color w:val="000008"/>
          <w:spacing w:val="-9"/>
          <w:w w:val="99"/>
        </w:rPr>
        <w:t>2.</w:t>
      </w:r>
      <w:r>
        <w:rPr>
          <w:b/>
          <w:bCs/>
          <w:color w:val="000008"/>
          <w:spacing w:val="-9"/>
          <w:w w:val="99"/>
        </w:rPr>
        <w:t>监测单位应根据工程的施工进度情况合理安排监测工期，施工过程中主动跟踪项目进展情</w:t>
      </w:r>
      <w:r>
        <w:rPr>
          <w:b/>
          <w:bCs/>
          <w:color w:val="000008"/>
          <w:spacing w:val="-9"/>
          <w:w w:val="98"/>
        </w:rPr>
        <w:t>况，根据项目进展情况及时进行监测，如因未主动跟踪项目进展导致监测工作不及时以及监</w:t>
      </w:r>
      <w:r>
        <w:rPr>
          <w:b/>
          <w:bCs/>
          <w:color w:val="000008"/>
          <w:spacing w:val="-7"/>
          <w:w w:val="97"/>
        </w:rPr>
        <w:t>测工作未达到图纸及规范规定的数量、频次、质量等要求，每发现一次监测单位需向采购人</w:t>
      </w:r>
      <w:r>
        <w:rPr>
          <w:b/>
          <w:bCs/>
          <w:color w:val="000008"/>
          <w:spacing w:val="-9"/>
        </w:rPr>
        <w:t>支付合同价的</w:t>
      </w:r>
      <w:r>
        <w:rPr>
          <w:b/>
          <w:bCs/>
          <w:color w:val="000008"/>
          <w:spacing w:val="35"/>
        </w:rPr>
        <w:t xml:space="preserve"> </w:t>
      </w:r>
      <w:r>
        <w:rPr>
          <w:rFonts w:ascii="Times New Roman" w:hAnsi="Times New Roman" w:eastAsia="Times New Roman" w:cs="Times New Roman"/>
          <w:b/>
          <w:bCs/>
          <w:color w:val="000008"/>
          <w:spacing w:val="-9"/>
        </w:rPr>
        <w:t xml:space="preserve">3  </w:t>
      </w:r>
      <w:r>
        <w:rPr>
          <w:b/>
          <w:bCs/>
          <w:color w:val="000008"/>
          <w:spacing w:val="-9"/>
        </w:rPr>
        <w:t>％的违约金。结算时监测单位实际完成的监测数量、频次没有达</w:t>
      </w:r>
      <w:r>
        <w:rPr>
          <w:b/>
          <w:bCs/>
          <w:color w:val="000008"/>
          <w:spacing w:val="-10"/>
        </w:rPr>
        <w:t>到图纸及规范要求的，则扣减相应监测费用。</w:t>
      </w:r>
    </w:p>
    <w:p w14:paraId="0498A58A">
      <w:pPr>
        <w:pStyle w:val="2"/>
        <w:spacing w:before="2" w:line="204" w:lineRule="auto"/>
        <w:ind w:left="21" w:right="683" w:hanging="3"/>
      </w:pPr>
      <w:r>
        <w:rPr>
          <w:rFonts w:ascii="Times New Roman" w:hAnsi="Times New Roman" w:eastAsia="Times New Roman" w:cs="Times New Roman"/>
          <w:b/>
          <w:bCs/>
          <w:color w:val="000008"/>
          <w:spacing w:val="-9"/>
          <w:w w:val="99"/>
        </w:rPr>
        <w:t>3.</w:t>
      </w:r>
      <w:r>
        <w:rPr>
          <w:b/>
          <w:bCs/>
          <w:color w:val="000008"/>
          <w:spacing w:val="-9"/>
          <w:w w:val="99"/>
        </w:rPr>
        <w:t>采购人提供的监测内容及数量为参考值，实际工作量如有增加，监测费用不予调整。监测</w:t>
      </w:r>
      <w:r>
        <w:rPr>
          <w:b/>
          <w:bCs/>
          <w:color w:val="000008"/>
          <w:spacing w:val="-8"/>
          <w:w w:val="98"/>
        </w:rPr>
        <w:t>点位、时长、频次有可能根据实际情况进行增加，监测费用不予增加。因工程返工进行的再</w:t>
      </w:r>
      <w:r>
        <w:rPr>
          <w:b/>
          <w:bCs/>
          <w:color w:val="000008"/>
          <w:spacing w:val="-10"/>
        </w:rPr>
        <w:t>次监测，监测费用不予增加。</w:t>
      </w:r>
    </w:p>
    <w:sectPr>
      <w:pgSz w:w="11900" w:h="16820"/>
      <w:pgMar w:top="1429" w:right="1099"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35263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2"/>
      <w:szCs w:val="2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1961</Words>
  <Characters>1993</Characters>
  <TotalTime>0</TotalTime>
  <ScaleCrop>false</ScaleCrop>
  <LinksUpToDate>false</LinksUpToDate>
  <CharactersWithSpaces>2006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2026-07-13T05:08:29Z</dcterms:created>
  <dc:creator>AQLY</dc:creator>
  <cp:lastModifiedBy>方武</cp:lastModifiedBy>
  <dcterms:modified xsi:type="dcterms:W3CDTF">2026-07-13T05:08:39Z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2026-07-13T12:09:39Z</vt:filetime>
  </property>
  <property fmtid="{D5CDD505-2E9C-101B-9397-08002B2CF9AE}" pid="4" name="KSOTemplateDocerSaveRecord">
    <vt:lpwstr>eyJoZGlkIjoiZTY2ZmMwNjI0MmNmMzEzOWY0MGQ2MTZhNmRkMGRjZDQiLCJ1c2VySWQiOiI3NzExODI5MzYifQ==</vt:lpwstr>
  </property>
  <property fmtid="{D5CDD505-2E9C-101B-9397-08002B2CF9AE}" pid="5" name="KSOProductBuildVer">
    <vt:lpwstr>2052-12.1.0.26895</vt:lpwstr>
  </property>
  <property fmtid="{D5CDD505-2E9C-101B-9397-08002B2CF9AE}" pid="6" name="ICV">
    <vt:lpwstr>95285A88325346EC892B327385DA25AD_12</vt:lpwstr>
  </property>
</Properties>
</file>