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60A4B">
      <w:pPr>
        <w:pStyle w:val="4"/>
        <w:spacing w:after="0" w:afterAutospacing="0"/>
        <w:ind w:firstLine="3614" w:firstLineChars="1500"/>
        <w:rPr>
          <w:rFonts w:hint="eastAsia" w:cs="Times New Roman"/>
          <w:bCs w:val="0"/>
          <w:color w:val="000000"/>
          <w:sz w:val="24"/>
          <w:szCs w:val="24"/>
          <w:highlight w:val="none"/>
        </w:rPr>
      </w:pPr>
      <w:bookmarkStart w:id="5" w:name="_GoBack"/>
      <w:bookmarkEnd w:id="5"/>
      <w:r>
        <w:rPr>
          <w:rFonts w:hint="eastAsia"/>
          <w:bCs w:val="0"/>
          <w:color w:val="000000"/>
          <w:sz w:val="24"/>
          <w:highlight w:val="none"/>
        </w:rPr>
        <w:t>采购需求：</w:t>
      </w:r>
    </w:p>
    <w:p w14:paraId="47800CB8">
      <w:pPr>
        <w:spacing w:line="360" w:lineRule="auto"/>
        <w:rPr>
          <w:rFonts w:ascii="宋体" w:hAnsi="宋体" w:eastAsia="宋体"/>
          <w:b/>
          <w:color w:val="000000"/>
          <w:sz w:val="24"/>
          <w:highlight w:val="none"/>
        </w:rPr>
      </w:pPr>
      <w:r>
        <w:rPr>
          <w:rFonts w:hint="eastAsia" w:ascii="宋体" w:hAnsi="宋体" w:eastAsia="宋体"/>
          <w:b/>
          <w:color w:val="000000"/>
          <w:sz w:val="24"/>
          <w:highlight w:val="none"/>
        </w:rPr>
        <w:t>前注：</w:t>
      </w:r>
    </w:p>
    <w:p w14:paraId="3B3C5DF6"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  <w:szCs w:val="18"/>
          <w:highlight w:val="none"/>
        </w:rPr>
      </w:pPr>
      <w:r>
        <w:rPr>
          <w:rFonts w:hint="eastAsia" w:ascii="宋体" w:hAnsi="宋体" w:eastAsia="宋体"/>
          <w:color w:val="000000"/>
          <w:sz w:val="24"/>
          <w:highlight w:val="none"/>
        </w:rPr>
        <w:t>1.</w:t>
      </w:r>
      <w:r>
        <w:rPr>
          <w:rFonts w:ascii="宋体" w:hAnsi="宋体" w:eastAsia="宋体"/>
          <w:color w:val="000000"/>
          <w:sz w:val="24"/>
          <w:szCs w:val="18"/>
          <w:highlight w:val="none"/>
        </w:rPr>
        <w:t>根据《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政府采购进口产品管理办法</w:t>
      </w:r>
      <w:r>
        <w:rPr>
          <w:rFonts w:ascii="宋体" w:hAnsi="宋体" w:eastAsia="宋体"/>
          <w:color w:val="000000"/>
          <w:sz w:val="24"/>
          <w:szCs w:val="18"/>
          <w:highlight w:val="none"/>
        </w:rPr>
        <w:t>》及政府采购管理部门的相关规定，下列采购需求中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标注进口产品的货物均</w:t>
      </w:r>
      <w:r>
        <w:rPr>
          <w:rFonts w:ascii="宋体" w:hAnsi="宋体" w:eastAsia="宋体"/>
          <w:color w:val="000000"/>
          <w:sz w:val="24"/>
          <w:szCs w:val="18"/>
          <w:highlight w:val="none"/>
        </w:rPr>
        <w:t>已履行相关论证手续，经核准采购进口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产品</w:t>
      </w:r>
      <w:r>
        <w:rPr>
          <w:rFonts w:ascii="宋体" w:hAnsi="宋体" w:eastAsia="宋体"/>
          <w:color w:val="000000"/>
          <w:sz w:val="24"/>
          <w:szCs w:val="18"/>
          <w:highlight w:val="none"/>
        </w:rPr>
        <w:t>，但不限制满足询价通知书要求的国内产品参与竞争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。未标注进口产品的货物均</w:t>
      </w:r>
      <w:r>
        <w:rPr>
          <w:rFonts w:ascii="宋体" w:hAnsi="宋体" w:eastAsia="宋体"/>
          <w:color w:val="000000"/>
          <w:sz w:val="24"/>
          <w:szCs w:val="18"/>
          <w:highlight w:val="none"/>
        </w:rPr>
        <w:t>为拒绝采购进口产品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。</w:t>
      </w:r>
    </w:p>
    <w:p w14:paraId="554AE5C4">
      <w:pPr>
        <w:spacing w:line="360" w:lineRule="auto"/>
        <w:ind w:firstLine="435"/>
        <w:rPr>
          <w:rFonts w:hint="eastAsia" w:ascii="宋体" w:hAnsi="宋体" w:eastAsia="宋体"/>
          <w:color w:val="000000"/>
          <w:sz w:val="24"/>
          <w:szCs w:val="18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2.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政府采购政策（包括但不限于下列具体政策要求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：</w:t>
      </w:r>
    </w:p>
    <w:p w14:paraId="665EECC6">
      <w:pPr>
        <w:spacing w:line="360" w:lineRule="auto"/>
        <w:ind w:firstLine="435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（1）如属于《节能产品政府采购品目清单》中政府强制采购的节能产品，则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所投产品须具有市场监管总局公布的《参与实施政府采购节能产品认证机构目录》中的认证机构出具的、处于有效期内的节能产品认证证书。</w:t>
      </w:r>
    </w:p>
    <w:p w14:paraId="60E49DF4">
      <w:pPr>
        <w:spacing w:line="360" w:lineRule="auto"/>
        <w:ind w:firstLine="435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（2）如涉及商品包装和快递包装，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2B5B23BD">
      <w:pPr>
        <w:spacing w:line="360" w:lineRule="auto"/>
        <w:ind w:firstLine="435"/>
        <w:rPr>
          <w:rFonts w:ascii="宋体" w:hAnsi="宋体" w:eastAsia="宋体"/>
          <w:color w:val="000000"/>
          <w:sz w:val="24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如采购人允许采用分包方式履行合同的，应当明确可以分包履行的相关内容。</w:t>
      </w:r>
    </w:p>
    <w:p w14:paraId="108E3DB4">
      <w:pPr>
        <w:spacing w:line="360" w:lineRule="auto"/>
        <w:ind w:firstLine="435"/>
        <w:rPr>
          <w:rFonts w:hint="eastAsia" w:ascii="宋体" w:hAnsi="宋体" w:eastAsia="宋体"/>
          <w:color w:val="000000"/>
          <w:sz w:val="24"/>
          <w:szCs w:val="18"/>
          <w:highlight w:val="none"/>
          <w:lang w:eastAsia="zh-CN"/>
        </w:rPr>
      </w:pPr>
      <w:r>
        <w:rPr>
          <w:rFonts w:hint="eastAsia" w:ascii="宋体" w:hAnsi="宋体" w:eastAsia="宋体"/>
          <w:color w:val="000000"/>
          <w:sz w:val="24"/>
          <w:szCs w:val="18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000000"/>
          <w:sz w:val="24"/>
          <w:szCs w:val="18"/>
          <w:highlight w:val="none"/>
        </w:rPr>
        <w:t>.条款须满足或优于询价通知书要求，否则</w:t>
      </w:r>
      <w:r>
        <w:rPr>
          <w:rFonts w:hint="eastAsia" w:ascii="宋体" w:hAnsi="宋体" w:eastAsia="宋体"/>
          <w:b/>
          <w:bCs/>
          <w:color w:val="000000"/>
          <w:sz w:val="24"/>
          <w:szCs w:val="18"/>
          <w:highlight w:val="none"/>
        </w:rPr>
        <w:t>响应无效</w:t>
      </w:r>
      <w:r>
        <w:rPr>
          <w:rFonts w:hint="eastAsia" w:ascii="宋体" w:hAnsi="宋体"/>
          <w:b/>
          <w:bCs/>
          <w:color w:val="000000"/>
          <w:sz w:val="24"/>
          <w:szCs w:val="18"/>
          <w:highlight w:val="none"/>
          <w:lang w:eastAsia="zh-CN"/>
        </w:rPr>
        <w:t>。</w:t>
      </w:r>
    </w:p>
    <w:p w14:paraId="6D651E3B">
      <w:pPr>
        <w:spacing w:line="360" w:lineRule="auto"/>
        <w:ind w:firstLine="437"/>
        <w:outlineLvl w:val="1"/>
        <w:rPr>
          <w:rFonts w:ascii="宋体" w:hAnsi="宋体" w:eastAsia="宋体"/>
          <w:b/>
          <w:color w:val="000000"/>
          <w:sz w:val="24"/>
          <w:szCs w:val="18"/>
          <w:highlight w:val="none"/>
        </w:rPr>
      </w:pPr>
      <w:bookmarkStart w:id="0" w:name="_Toc23283"/>
      <w:bookmarkStart w:id="1" w:name="_Toc23627"/>
      <w:r>
        <w:rPr>
          <w:rFonts w:hint="eastAsia" w:ascii="宋体" w:hAnsi="宋体" w:eastAsia="宋体"/>
          <w:b/>
          <w:color w:val="000000"/>
          <w:sz w:val="24"/>
          <w:szCs w:val="18"/>
          <w:highlight w:val="none"/>
          <w:lang w:eastAsia="zh-CN"/>
        </w:rPr>
        <w:t>（</w:t>
      </w:r>
      <w:r>
        <w:rPr>
          <w:rFonts w:hint="eastAsia" w:ascii="宋体" w:hAnsi="宋体" w:eastAsia="宋体"/>
          <w:b/>
          <w:color w:val="000000"/>
          <w:sz w:val="24"/>
          <w:szCs w:val="18"/>
          <w:highlight w:val="none"/>
          <w:lang w:val="en-US" w:eastAsia="zh-CN"/>
        </w:rPr>
        <w:t>一</w:t>
      </w:r>
      <w:r>
        <w:rPr>
          <w:rFonts w:hint="eastAsia" w:ascii="宋体" w:hAnsi="宋体" w:eastAsia="宋体"/>
          <w:b/>
          <w:color w:val="000000"/>
          <w:sz w:val="24"/>
          <w:szCs w:val="18"/>
          <w:highlight w:val="none"/>
          <w:lang w:eastAsia="zh-CN"/>
        </w:rPr>
        <w:t>）</w:t>
      </w:r>
      <w:r>
        <w:rPr>
          <w:rFonts w:hint="eastAsia" w:ascii="宋体" w:hAnsi="宋体" w:eastAsia="宋体"/>
          <w:b/>
          <w:color w:val="000000"/>
          <w:sz w:val="24"/>
          <w:szCs w:val="18"/>
          <w:highlight w:val="none"/>
        </w:rPr>
        <w:t>采购需求前附表</w:t>
      </w:r>
      <w:bookmarkEnd w:id="0"/>
      <w:bookmarkEnd w:id="1"/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2F63C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621B1FF3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color w:val="00000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highlight w:val="none"/>
              </w:rPr>
              <w:t>序号</w:t>
            </w:r>
          </w:p>
        </w:tc>
        <w:tc>
          <w:tcPr>
            <w:tcW w:w="1192" w:type="pct"/>
            <w:noWrap w:val="0"/>
            <w:vAlign w:val="center"/>
          </w:tcPr>
          <w:p w14:paraId="368F4106">
            <w:pPr>
              <w:pStyle w:val="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sz w:val="24"/>
                <w:highlight w:val="none"/>
              </w:rPr>
              <w:t>条款名称</w:t>
            </w:r>
          </w:p>
        </w:tc>
        <w:tc>
          <w:tcPr>
            <w:tcW w:w="3216" w:type="pct"/>
            <w:noWrap w:val="0"/>
            <w:vAlign w:val="center"/>
          </w:tcPr>
          <w:p w14:paraId="7D2050A8">
            <w:pPr>
              <w:pStyle w:val="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sz w:val="24"/>
                <w:highlight w:val="none"/>
              </w:rPr>
              <w:t>内容、说明与要求</w:t>
            </w:r>
          </w:p>
        </w:tc>
      </w:tr>
      <w:tr w14:paraId="5887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40C67668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color w:val="00000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2"/>
                <w:highlight w:val="none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0077B5C6">
            <w:pPr>
              <w:pStyle w:val="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</w:rPr>
              <w:t>付款方式</w:t>
            </w:r>
          </w:p>
        </w:tc>
        <w:tc>
          <w:tcPr>
            <w:tcW w:w="3216" w:type="pct"/>
            <w:noWrap w:val="0"/>
            <w:vAlign w:val="center"/>
          </w:tcPr>
          <w:p w14:paraId="655BCF27">
            <w:pPr>
              <w:pStyle w:val="9"/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/>
                <w:b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highlight w:val="none"/>
              </w:rPr>
              <w:t>合同签订后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供应后每季度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据实结算</w:t>
            </w:r>
          </w:p>
        </w:tc>
      </w:tr>
      <w:tr w14:paraId="38887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5CFC9EA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color w:val="00000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2"/>
                <w:highlight w:val="none"/>
              </w:rPr>
              <w:t>2</w:t>
            </w:r>
          </w:p>
        </w:tc>
        <w:tc>
          <w:tcPr>
            <w:tcW w:w="1192" w:type="pct"/>
            <w:noWrap w:val="0"/>
            <w:vAlign w:val="center"/>
          </w:tcPr>
          <w:p w14:paraId="2B3EC69D">
            <w:pPr>
              <w:pStyle w:val="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</w:rPr>
              <w:t>供货及安装地点</w:t>
            </w:r>
          </w:p>
        </w:tc>
        <w:tc>
          <w:tcPr>
            <w:tcW w:w="3216" w:type="pct"/>
            <w:noWrap w:val="0"/>
            <w:vAlign w:val="center"/>
          </w:tcPr>
          <w:p w14:paraId="1A8FBD77">
            <w:pPr>
              <w:pStyle w:val="9"/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/>
                <w:b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  <w:lang w:val="en-US" w:eastAsia="zh-CN"/>
              </w:rPr>
              <w:t>安庆市第六人民医院，采购人指定位置</w:t>
            </w:r>
          </w:p>
        </w:tc>
      </w:tr>
      <w:tr w14:paraId="20EC3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3E801133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color w:val="00000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2"/>
                <w:highlight w:val="none"/>
              </w:rPr>
              <w:t>3</w:t>
            </w:r>
          </w:p>
        </w:tc>
        <w:tc>
          <w:tcPr>
            <w:tcW w:w="1192" w:type="pct"/>
            <w:noWrap w:val="0"/>
            <w:vAlign w:val="center"/>
          </w:tcPr>
          <w:p w14:paraId="3179D98B">
            <w:pPr>
              <w:pStyle w:val="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</w:rPr>
              <w:t>供货期限</w:t>
            </w:r>
          </w:p>
        </w:tc>
        <w:tc>
          <w:tcPr>
            <w:tcW w:w="3216" w:type="pct"/>
            <w:noWrap w:val="0"/>
            <w:vAlign w:val="center"/>
          </w:tcPr>
          <w:p w14:paraId="34C9762E">
            <w:pPr>
              <w:pStyle w:val="9"/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/>
                <w:b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自合同签订之日起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年或采购费用总额达到本项目总中标价时，以先到者为准，在供货期内按照采购人的要求分批供货，据实结算</w:t>
            </w:r>
          </w:p>
        </w:tc>
      </w:tr>
      <w:tr w14:paraId="1FBC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4EC588E4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color w:val="00000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2"/>
                <w:highlight w:val="none"/>
              </w:rPr>
              <w:t>4</w:t>
            </w:r>
          </w:p>
        </w:tc>
        <w:tc>
          <w:tcPr>
            <w:tcW w:w="1192" w:type="pct"/>
            <w:noWrap w:val="0"/>
            <w:vAlign w:val="center"/>
          </w:tcPr>
          <w:p w14:paraId="4CDFF463">
            <w:pPr>
              <w:pStyle w:val="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</w:rPr>
              <w:t>免费质保期</w:t>
            </w:r>
          </w:p>
        </w:tc>
        <w:tc>
          <w:tcPr>
            <w:tcW w:w="3216" w:type="pct"/>
            <w:noWrap w:val="0"/>
            <w:vAlign w:val="center"/>
          </w:tcPr>
          <w:p w14:paraId="14A0DD45">
            <w:pPr>
              <w:pStyle w:val="9"/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</w:rPr>
              <w:t>验收合格之日起</w:t>
            </w:r>
            <w:r>
              <w:rPr>
                <w:rFonts w:hint="eastAsia" w:ascii="宋体" w:hAnsi="宋体" w:eastAsia="宋体"/>
                <w:b w:val="0"/>
                <w:color w:val="000000"/>
                <w:sz w:val="24"/>
                <w:highlight w:val="none"/>
                <w:lang w:val="en-US" w:eastAsia="zh-CN"/>
              </w:rPr>
              <w:t>两年（不得低于原厂期限）</w:t>
            </w:r>
          </w:p>
        </w:tc>
      </w:tr>
    </w:tbl>
    <w:p w14:paraId="017F10A5">
      <w:pPr>
        <w:spacing w:line="360" w:lineRule="auto"/>
        <w:ind w:firstLine="437"/>
        <w:outlineLvl w:val="1"/>
        <w:rPr>
          <w:rFonts w:hint="default" w:ascii="宋体" w:hAnsi="宋体" w:eastAsia="宋体"/>
          <w:b/>
          <w:bCs/>
          <w:color w:val="000000"/>
          <w:sz w:val="24"/>
          <w:szCs w:val="18"/>
          <w:highlight w:val="none"/>
          <w:lang w:val="en-US" w:eastAsia="zh-CN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18"/>
          <w:highlight w:val="none"/>
          <w:lang w:val="en-US" w:eastAsia="zh-CN"/>
        </w:rPr>
        <w:t>（二）货物需求</w:t>
      </w:r>
    </w:p>
    <w:tbl>
      <w:tblPr>
        <w:tblStyle w:val="6"/>
        <w:tblW w:w="931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401"/>
        <w:gridCol w:w="1656"/>
        <w:gridCol w:w="816"/>
        <w:gridCol w:w="1480"/>
        <w:gridCol w:w="2250"/>
      </w:tblGrid>
      <w:tr w14:paraId="2DCEF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7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7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D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C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8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年预估采购量（约）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C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最高单价限价（元）</w:t>
            </w:r>
          </w:p>
        </w:tc>
      </w:tr>
      <w:tr w14:paraId="71D1E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5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2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谷丙转氨酶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0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E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A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F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218</w:t>
            </w:r>
          </w:p>
        </w:tc>
      </w:tr>
      <w:tr w14:paraId="6BE1D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3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5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谷草转氨酶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6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D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C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</w:tr>
      <w:tr w14:paraId="3CF24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0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γ-谷氨酰基转移酶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8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2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3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0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</w:tr>
      <w:tr w14:paraId="47603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9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0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乳酸脱氢酶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1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5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E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</w:tr>
      <w:tr w14:paraId="4C9B4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C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碱性磷酸酶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8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4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0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2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</w:tr>
      <w:tr w14:paraId="2473B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C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3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总蛋白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B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1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1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6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</w:tr>
      <w:tr w14:paraId="29816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8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D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白蛋白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9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5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3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1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</w:tr>
      <w:tr w14:paraId="3B868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C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总胆红素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0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4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F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</w:tr>
      <w:tr w14:paraId="5DABD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E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8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直接胆红素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2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A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6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0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</w:t>
            </w:r>
          </w:p>
        </w:tc>
      </w:tr>
      <w:tr w14:paraId="778A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A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C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甘油三酯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E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9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F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F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</w:tr>
      <w:tr w14:paraId="24CB3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9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3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总胆固醇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3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5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4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4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</w:tr>
      <w:tr w14:paraId="4EE40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1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8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高密度脂蛋白胆固醇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9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0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6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2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615</w:t>
            </w:r>
          </w:p>
        </w:tc>
      </w:tr>
      <w:tr w14:paraId="20CA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D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2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低密度脂蛋白胆固醇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0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A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D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</w:t>
            </w:r>
          </w:p>
        </w:tc>
      </w:tr>
      <w:tr w14:paraId="4BFCD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4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0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糖化血红蛋白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E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8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4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1780</w:t>
            </w:r>
          </w:p>
        </w:tc>
      </w:tr>
      <w:tr w14:paraId="56D11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6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8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D-二聚体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7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5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6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E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2480</w:t>
            </w:r>
          </w:p>
        </w:tc>
      </w:tr>
      <w:tr w14:paraId="0372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6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丙戊酸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B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100T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6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0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5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2160</w:t>
            </w:r>
          </w:p>
        </w:tc>
      </w:tr>
      <w:tr w14:paraId="17FF1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E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文拉法辛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8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R1:20mL; R2:5mL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B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2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5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7800</w:t>
            </w:r>
          </w:p>
        </w:tc>
      </w:tr>
      <w:tr w14:paraId="32D64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C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9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氢氧化钠洗液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D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3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D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</w:tr>
      <w:tr w14:paraId="0AF6D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A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F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氢氧化钠基础洗液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8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2*1.8L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B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</w:t>
            </w:r>
          </w:p>
        </w:tc>
      </w:tr>
      <w:tr w14:paraId="1BB2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C501 清洗液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8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12*59mL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19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A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E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2860</w:t>
            </w:r>
          </w:p>
        </w:tc>
      </w:tr>
      <w:tr w14:paraId="4B07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7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5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百分之 9 氯化钠稀释液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4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7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9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</w:tr>
      <w:tr w14:paraId="160ED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A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E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多用洗液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9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12*59mL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7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4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9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945</w:t>
            </w:r>
          </w:p>
        </w:tc>
      </w:tr>
      <w:tr w14:paraId="2251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E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7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生化多项校准品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7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12*3mL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A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5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1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990</w:t>
            </w:r>
          </w:p>
        </w:tc>
      </w:tr>
      <w:tr w14:paraId="0510C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2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3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血脂校准品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2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A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5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9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416</w:t>
            </w:r>
          </w:p>
        </w:tc>
      </w:tr>
      <w:tr w14:paraId="4169A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7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6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肌酸激酶同工酶校准品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6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9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</w:t>
            </w:r>
          </w:p>
        </w:tc>
      </w:tr>
      <w:tr w14:paraId="5B7A9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5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0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蛋白多项校准品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F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A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3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2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810</w:t>
            </w:r>
          </w:p>
        </w:tc>
      </w:tr>
      <w:tr w14:paraId="40C18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8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同型半胱氨酸校准品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D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2*3mL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7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E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695</w:t>
            </w:r>
          </w:p>
        </w:tc>
      </w:tr>
      <w:tr w14:paraId="1D083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3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8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糖化血红蛋白校准品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A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3*2mL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B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D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1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1210</w:t>
            </w:r>
          </w:p>
        </w:tc>
      </w:tr>
      <w:tr w14:paraId="0E8B9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A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0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丙戊酸校准品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5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6*5mL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5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3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C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5250</w:t>
            </w:r>
          </w:p>
        </w:tc>
      </w:tr>
      <w:tr w14:paraId="16E4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0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B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D-二聚体校准品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2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6*0.5mL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2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C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0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980</w:t>
            </w:r>
          </w:p>
        </w:tc>
      </w:tr>
      <w:tr w14:paraId="3FCCB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C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1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文拉法辛校准品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5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B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1590</w:t>
            </w:r>
          </w:p>
        </w:tc>
      </w:tr>
      <w:tr w14:paraId="56EAE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5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5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同型半胱氨酸质控品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D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 xml:space="preserve">水平 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1:2*3mL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 xml:space="preserve">；水平 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2:2*3mL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3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1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E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</w:tr>
      <w:tr w14:paraId="7991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1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E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糖化血红蛋白质控品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9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正常值：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4*1mL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9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E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5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2170</w:t>
            </w:r>
          </w:p>
        </w:tc>
      </w:tr>
      <w:tr w14:paraId="67FE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5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5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糖化血红蛋白质控品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异常值：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4*1mL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0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6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2170</w:t>
            </w:r>
          </w:p>
        </w:tc>
      </w:tr>
      <w:tr w14:paraId="0ED3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0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4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丙戊酸质控品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6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水平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1:2*5mL；水平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2:2*5mL；水平 3:2*5mL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E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D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E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1327</w:t>
            </w:r>
          </w:p>
        </w:tc>
      </w:tr>
      <w:tr w14:paraId="2A44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4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7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D-二聚体质控品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 xml:space="preserve">水平 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1:2*1mL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 xml:space="preserve">；水平 </w:t>
            </w: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>2:2*1mL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7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6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0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2420</w:t>
            </w:r>
          </w:p>
        </w:tc>
      </w:tr>
      <w:tr w14:paraId="0719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4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2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文拉法辛质控品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C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3*1mL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4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7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C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1190</w:t>
            </w:r>
          </w:p>
        </w:tc>
      </w:tr>
      <w:tr w14:paraId="1044D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D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9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生化多项低值质控品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B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20*5mL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6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D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2900</w:t>
            </w:r>
          </w:p>
        </w:tc>
      </w:tr>
      <w:tr w14:paraId="7D6A3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F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8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生化多项高值质控品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1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20*5mL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C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3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6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3230</w:t>
            </w:r>
          </w:p>
        </w:tc>
      </w:tr>
      <w:tr w14:paraId="63907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0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E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生化仪灯泡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3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12V50W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4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6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4100</w:t>
            </w:r>
          </w:p>
        </w:tc>
      </w:tr>
      <w:tr w14:paraId="4050A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6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0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乙型肝炎病毒表面抗原质控品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3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15×1.3mL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F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1185</w:t>
            </w:r>
          </w:p>
        </w:tc>
      </w:tr>
      <w:tr w14:paraId="10310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E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B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乙型肝炎病毒表面抗体质控液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16×1.3mL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5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C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D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1185</w:t>
            </w:r>
          </w:p>
        </w:tc>
      </w:tr>
      <w:tr w14:paraId="2E40D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3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6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乙型肝炎病毒e抗原质控液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16×1.3mL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C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1185</w:t>
            </w:r>
          </w:p>
        </w:tc>
      </w:tr>
      <w:tr w14:paraId="4604C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C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7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乙型肝炎病毒e抗体质控液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16×1.3mL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3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7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1185</w:t>
            </w:r>
          </w:p>
        </w:tc>
      </w:tr>
      <w:tr w14:paraId="7B8EA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2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2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乙型肝炎病毒核心抗体质控品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C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16×1.3mL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D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4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F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1185</w:t>
            </w:r>
          </w:p>
        </w:tc>
      </w:tr>
      <w:tr w14:paraId="36F9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E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0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人类免疫缺陷病毒质控品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7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6×2.0mL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0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B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920</w:t>
            </w:r>
          </w:p>
        </w:tc>
      </w:tr>
      <w:tr w14:paraId="611C1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5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2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梅毒螺旋体抗体质控品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7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4×2.0mL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A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7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1185</w:t>
            </w:r>
          </w:p>
        </w:tc>
      </w:tr>
      <w:tr w14:paraId="73E0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8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6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丙型肝炎病毒抗体质控品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E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16×1.3 mL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5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8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2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1650</w:t>
            </w:r>
          </w:p>
        </w:tc>
      </w:tr>
      <w:tr w14:paraId="3905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5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内置 PP 滤芯过滤器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3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 xml:space="preserve">20 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英寸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2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4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A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</w:tr>
      <w:tr w14:paraId="4491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2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0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内置式活性炭滤芯过滤器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 xml:space="preserve">20 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英寸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7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C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6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</w:tr>
      <w:tr w14:paraId="6E075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00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C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内置式软化 KDF缓释剂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0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 xml:space="preserve">20 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英寸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5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1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1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</w:tr>
      <w:tr w14:paraId="5A3DA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5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4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反渗透柱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0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RO-500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5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A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0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3100</w:t>
            </w:r>
          </w:p>
        </w:tc>
      </w:tr>
      <w:tr w14:paraId="053B2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4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9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树脂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8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6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9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675</w:t>
            </w:r>
          </w:p>
        </w:tc>
      </w:tr>
      <w:tr w14:paraId="2D7A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1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9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活性炭滤芯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2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 xml:space="preserve">20 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英寸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A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C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2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</w:tr>
      <w:tr w14:paraId="37BB9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B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7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喷熔滤芯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C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 xml:space="preserve">20 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英寸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3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2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E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</w:tr>
      <w:tr w14:paraId="6026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7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B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线绕滤芯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C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0"/>
                <w:color w:val="000000"/>
                <w:highlight w:val="none"/>
                <w:lang w:val="en-US" w:eastAsia="zh-CN" w:bidi="ar"/>
              </w:rPr>
              <w:t xml:space="preserve">20 </w:t>
            </w:r>
            <w:r>
              <w:rPr>
                <w:rStyle w:val="11"/>
                <w:rFonts w:eastAsia="宋体"/>
                <w:color w:val="000000"/>
                <w:highlight w:val="none"/>
                <w:lang w:val="en-US" w:eastAsia="zh-CN" w:bidi="ar"/>
              </w:rPr>
              <w:t>英寸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C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6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</w:tr>
      <w:tr w14:paraId="3692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2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6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离子交换树脂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1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5L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B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B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3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675</w:t>
            </w:r>
          </w:p>
        </w:tc>
      </w:tr>
      <w:tr w14:paraId="5F69E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3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8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反渗透膜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E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JRW-3013-400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3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3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E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1035</w:t>
            </w:r>
          </w:p>
        </w:tc>
      </w:tr>
      <w:tr w14:paraId="1E006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83583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说明：</w:t>
            </w:r>
          </w:p>
          <w:p w14:paraId="4468E6A5">
            <w:pPr>
              <w:spacing w:line="360" w:lineRule="auto"/>
              <w:jc w:val="left"/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eastAsia="zh-CN"/>
              </w:rPr>
              <w:t>1.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人的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 xml:space="preserve">文件必须标明所投货物的品牌与参数，保证原厂正品供货； </w:t>
            </w:r>
          </w:p>
          <w:p w14:paraId="60D311A6">
            <w:pPr>
              <w:spacing w:line="360" w:lineRule="auto"/>
              <w:jc w:val="left"/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eastAsia="zh-CN"/>
              </w:rPr>
              <w:t>2.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本表中的“数量”为预计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年使用量仅供投标人报价时参考。</w:t>
            </w:r>
          </w:p>
          <w:p w14:paraId="4025C879">
            <w:pPr>
              <w:spacing w:line="360" w:lineRule="auto"/>
              <w:jc w:val="left"/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供货期限内如遇国家、省医保带量采购等相关政策调整，按国家、省医保带量采购等相关政策执行；</w:t>
            </w:r>
          </w:p>
          <w:p w14:paraId="19E09BD3">
            <w:pPr>
              <w:spacing w:line="360" w:lineRule="auto"/>
              <w:jc w:val="left"/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序号</w:t>
            </w:r>
            <w:r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1-40适用于Cobas c 501机型；40-48适用于Cobas e 601机型。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（提供承诺函，格式自拟。）</w:t>
            </w:r>
          </w:p>
          <w:p w14:paraId="4BE3801C">
            <w:pPr>
              <w:spacing w:line="360" w:lineRule="auto"/>
              <w:jc w:val="left"/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val="en-US" w:eastAsia="zh-CN"/>
              </w:rPr>
              <w:t>5.响应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人所投产品单价不得高于该产品单价限价，否则视为无效响应。</w:t>
            </w:r>
          </w:p>
          <w:p w14:paraId="07DC7ACE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/>
                <w:bCs/>
                <w:color w:val="000000"/>
                <w:sz w:val="22"/>
                <w:szCs w:val="16"/>
                <w:highlight w:val="none"/>
              </w:rPr>
              <w:t>所有技术参数及要求采购人验收时将逐条核对，如发现与实际情况不符、虚假响应等，采购人有权报监 管部门并追究违约责任；</w:t>
            </w:r>
          </w:p>
        </w:tc>
      </w:tr>
    </w:tbl>
    <w:p w14:paraId="3B236206">
      <w:pPr>
        <w:spacing w:line="360" w:lineRule="auto"/>
        <w:ind w:firstLine="437"/>
        <w:outlineLvl w:val="1"/>
        <w:rPr>
          <w:rFonts w:hint="eastAsia" w:ascii="宋体" w:hAnsi="宋体" w:eastAsia="宋体" w:cs="Times New Roman"/>
          <w:b/>
          <w:bCs/>
          <w:color w:val="000000"/>
          <w:sz w:val="24"/>
          <w:szCs w:val="18"/>
          <w:highlight w:val="none"/>
          <w:lang w:val="en-US" w:eastAsia="zh-CN"/>
        </w:rPr>
      </w:pPr>
      <w:bookmarkStart w:id="2" w:name="_Toc25437"/>
      <w:bookmarkStart w:id="3" w:name="_Toc14698"/>
      <w:bookmarkStart w:id="4" w:name="_Toc15293"/>
      <w:r>
        <w:rPr>
          <w:rFonts w:hint="eastAsia" w:ascii="宋体" w:hAnsi="宋体" w:eastAsia="宋体" w:cs="Times New Roman"/>
          <w:b/>
          <w:bCs/>
          <w:color w:val="000000"/>
          <w:sz w:val="24"/>
          <w:szCs w:val="18"/>
          <w:highlight w:val="none"/>
          <w:lang w:val="en-US" w:eastAsia="zh-CN"/>
        </w:rPr>
        <w:t>（三）验收要求</w:t>
      </w:r>
      <w:bookmarkEnd w:id="2"/>
      <w:bookmarkEnd w:id="3"/>
      <w:bookmarkEnd w:id="4"/>
    </w:p>
    <w:p w14:paraId="24F7BC56">
      <w:pPr>
        <w:spacing w:line="360" w:lineRule="auto"/>
        <w:jc w:val="left"/>
        <w:rPr>
          <w:rFonts w:hint="eastAsia" w:ascii="宋体" w:hAnsi="宋体" w:eastAsia="宋体" w:cs="Times New Roman"/>
          <w:bCs/>
          <w:color w:val="000000"/>
          <w:sz w:val="22"/>
          <w:szCs w:val="16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16"/>
          <w:highlight w:val="none"/>
          <w:lang w:val="en-US" w:eastAsia="zh-CN"/>
        </w:rPr>
        <w:t>成交</w:t>
      </w:r>
      <w:r>
        <w:rPr>
          <w:rFonts w:hint="eastAsia" w:ascii="宋体" w:hAnsi="宋体" w:eastAsia="宋体" w:cs="Times New Roman"/>
          <w:bCs/>
          <w:color w:val="000000"/>
          <w:sz w:val="22"/>
          <w:szCs w:val="16"/>
          <w:highlight w:val="none"/>
        </w:rPr>
        <w:t>人和采购人双方共同实施验收工作，结果和验收报告经双方确认后生效。</w:t>
      </w:r>
    </w:p>
    <w:p w14:paraId="2C7F354F"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82713"/>
    <w:rsid w:val="25EE191C"/>
    <w:rsid w:val="3B3F0341"/>
    <w:rsid w:val="5F7B5EFE"/>
    <w:rsid w:val="5FE644A1"/>
    <w:rsid w:val="614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&amp;L"/>
    <w:basedOn w:val="5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9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7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1697</Words>
  <Characters>2202</Characters>
  <Lines>0</Lines>
  <Paragraphs>0</Paragraphs>
  <TotalTime>0</TotalTime>
  <ScaleCrop>false</ScaleCrop>
  <LinksUpToDate>false</LinksUpToDate>
  <CharactersWithSpaces>2229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2026-05-29T00:41:00Z</dcterms:created>
  <dc:creator>文汇</dc:creator>
  <cp:lastModifiedBy>小祝不是小猪</cp:lastModifiedBy>
  <dcterms:modified xsi:type="dcterms:W3CDTF">2026-06-08T02:19:42Z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eyJoZGlkIjoiM2ZkNzA0YTVjYTVhYTU3YTJkMmQwOGM0MjFmYjEwMzIiLCJ1c2VySWQiOiI1NjQ3ODk3NjUifQ==</vt:lpwstr>
  </property>
  <property fmtid="{D5CDD505-2E9C-101B-9397-08002B2CF9AE}" pid="4" name="ICV">
    <vt:lpwstr>A8EB92B6C055491486FAC0A108D6CDC2_13</vt:lpwstr>
  </property>
</Properties>
</file>