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09654">
      <w:pPr>
        <w:pStyle w:val="2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采购需求</w:t>
      </w:r>
    </w:p>
    <w:p w14:paraId="69DA14AB">
      <w:pPr>
        <w:spacing w:line="360" w:lineRule="auto"/>
        <w:rPr>
          <w:rFonts w:ascii="宋体" w:hAnsi="宋体" w:eastAsia="宋体"/>
          <w:b/>
          <w:color w:val="000000"/>
          <w:sz w:val="24"/>
        </w:rPr>
      </w:pPr>
      <w:r>
        <w:rPr>
          <w:rFonts w:hint="eastAsia" w:ascii="宋体" w:hAnsi="宋体" w:eastAsia="宋体"/>
          <w:b/>
          <w:color w:val="000000"/>
          <w:sz w:val="24"/>
        </w:rPr>
        <w:t>前注：</w:t>
      </w:r>
    </w:p>
    <w:p w14:paraId="3D6AB1C1">
      <w:pPr>
        <w:spacing w:line="360" w:lineRule="auto"/>
        <w:ind w:firstLine="435"/>
        <w:rPr>
          <w:rFonts w:ascii="宋体" w:hAnsi="宋体" w:eastAsia="宋体"/>
          <w:color w:val="000000"/>
          <w:sz w:val="24"/>
          <w:szCs w:val="18"/>
        </w:rPr>
      </w:pPr>
      <w:r>
        <w:rPr>
          <w:rFonts w:hint="eastAsia" w:ascii="宋体" w:hAnsi="宋体" w:eastAsia="宋体"/>
          <w:color w:val="000000"/>
          <w:sz w:val="24"/>
          <w:szCs w:val="18"/>
        </w:rPr>
        <w:t>下列采购需求中：</w:t>
      </w:r>
    </w:p>
    <w:p w14:paraId="25BC2DD6">
      <w:pPr>
        <w:spacing w:line="360" w:lineRule="auto"/>
        <w:ind w:firstLine="240" w:firstLineChars="100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（1）如属于《节能产品政府采购品目清单》中政府强制采购的节能产品，则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供应商</w:t>
      </w:r>
      <w:r>
        <w:rPr>
          <w:rFonts w:ascii="宋体" w:hAnsi="宋体" w:eastAsia="宋体" w:cs="宋体"/>
          <w:color w:val="000000"/>
          <w:sz w:val="24"/>
          <w:szCs w:val="24"/>
        </w:rPr>
        <w:t>所投产品须具有市场监管总局公布的《参与实施政府采购节能产品认证机构目录》中的认证机构出具的、处于有效期内的节能产品认证证书。</w:t>
      </w:r>
    </w:p>
    <w:p w14:paraId="7C834909">
      <w:pPr>
        <w:spacing w:line="360" w:lineRule="auto"/>
        <w:ind w:firstLine="240" w:firstLineChars="100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 </w:t>
      </w:r>
      <w:r>
        <w:rPr>
          <w:rFonts w:ascii="宋体" w:hAnsi="宋体" w:eastAsia="宋体" w:cs="宋体"/>
          <w:color w:val="000000"/>
          <w:sz w:val="24"/>
          <w:szCs w:val="24"/>
        </w:rPr>
        <w:t>（2）如涉及商品包装和快递包装，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供应商</w:t>
      </w:r>
      <w:r>
        <w:rPr>
          <w:rFonts w:ascii="宋体" w:hAnsi="宋体" w:eastAsia="宋体" w:cs="宋体"/>
          <w:color w:val="000000"/>
          <w:sz w:val="24"/>
          <w:szCs w:val="24"/>
        </w:rPr>
        <w:t>应当执行《关于印发〈商品包装政府采购需求标准（试行）〉、〈快递包装政府采购需求标准（试行）〉的通知》（财办库〔2020〕123号）、《安徽省财政厅关于贯彻落实政府绿色采购有关政策的通知》（皖财购〔2023〕853号）的要求，提供符合需求标准的绿色包装、绿色运输，同时，采购人将对包装材料和运输环节作为履约验收条款进行验收。</w:t>
      </w:r>
    </w:p>
    <w:p w14:paraId="0548A23A">
      <w:pPr>
        <w:spacing w:line="360" w:lineRule="auto"/>
        <w:ind w:firstLine="240" w:firstLineChars="1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商务要求：</w:t>
      </w:r>
    </w:p>
    <w:tbl>
      <w:tblPr>
        <w:tblStyle w:val="10"/>
        <w:tblW w:w="8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2391"/>
        <w:gridCol w:w="5494"/>
      </w:tblGrid>
      <w:tr w14:paraId="13A8E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1075" w:type="dxa"/>
            <w:noWrap w:val="0"/>
            <w:vAlign w:val="center"/>
          </w:tcPr>
          <w:p w14:paraId="1CA51A4D">
            <w:pPr>
              <w:pStyle w:val="6"/>
              <w:jc w:val="center"/>
              <w:rPr>
                <w:rFonts w:ascii="宋体" w:hAnsi="宋体" w:cs="Wingdings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Wingdings"/>
                <w:b/>
                <w:color w:val="000000"/>
                <w:sz w:val="24"/>
                <w:highlight w:val="none"/>
              </w:rPr>
              <w:t>序号</w:t>
            </w:r>
          </w:p>
        </w:tc>
        <w:tc>
          <w:tcPr>
            <w:tcW w:w="2391" w:type="dxa"/>
            <w:noWrap w:val="0"/>
            <w:vAlign w:val="center"/>
          </w:tcPr>
          <w:p w14:paraId="6B7BA33E">
            <w:pPr>
              <w:pStyle w:val="6"/>
              <w:jc w:val="center"/>
              <w:rPr>
                <w:rFonts w:ascii="宋体" w:hAnsi="宋体" w:cs="Wingdings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highlight w:val="none"/>
              </w:rPr>
              <w:t>商务条款名称</w:t>
            </w:r>
          </w:p>
          <w:p w14:paraId="3015ABFF">
            <w:pPr>
              <w:rPr>
                <w:color w:val="000000"/>
                <w:highlight w:val="none"/>
              </w:rPr>
            </w:pPr>
          </w:p>
        </w:tc>
        <w:tc>
          <w:tcPr>
            <w:tcW w:w="5494" w:type="dxa"/>
            <w:noWrap w:val="0"/>
            <w:vAlign w:val="center"/>
          </w:tcPr>
          <w:p w14:paraId="44ABE0A4">
            <w:pPr>
              <w:pStyle w:val="6"/>
              <w:jc w:val="center"/>
              <w:rPr>
                <w:rFonts w:ascii="宋体" w:hAnsi="宋体" w:cs="Wingdings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Wingdings"/>
                <w:b/>
                <w:color w:val="000000"/>
                <w:sz w:val="24"/>
                <w:highlight w:val="none"/>
              </w:rPr>
              <w:t>具体要求内容</w:t>
            </w:r>
          </w:p>
        </w:tc>
      </w:tr>
      <w:tr w14:paraId="05E56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" w:hRule="atLeast"/>
          <w:jc w:val="center"/>
        </w:trPr>
        <w:tc>
          <w:tcPr>
            <w:tcW w:w="1075" w:type="dxa"/>
            <w:noWrap w:val="0"/>
            <w:vAlign w:val="center"/>
          </w:tcPr>
          <w:p w14:paraId="7C7630E0">
            <w:pPr>
              <w:jc w:val="center"/>
              <w:rPr>
                <w:rFonts w:ascii="宋体" w:hAnsi="宋体" w:eastAsia="宋体"/>
                <w:color w:val="000000"/>
                <w:sz w:val="24"/>
                <w:highlight w:val="none"/>
              </w:rPr>
            </w:pPr>
            <w:r>
              <w:rPr>
                <w:rFonts w:ascii="宋体" w:hAnsi="宋体" w:eastAsia="宋体"/>
                <w:color w:val="000000"/>
                <w:sz w:val="24"/>
                <w:highlight w:val="none"/>
              </w:rPr>
              <w:t>1</w:t>
            </w:r>
          </w:p>
        </w:tc>
        <w:tc>
          <w:tcPr>
            <w:tcW w:w="2391" w:type="dxa"/>
            <w:noWrap w:val="0"/>
            <w:vAlign w:val="center"/>
          </w:tcPr>
          <w:p w14:paraId="419D3DF1">
            <w:pPr>
              <w:jc w:val="center"/>
              <w:rPr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Fonts w:ascii="宋体" w:hAnsi="宋体" w:eastAsia="宋体"/>
                <w:color w:val="000000"/>
                <w:sz w:val="24"/>
                <w:highlight w:val="none"/>
              </w:rPr>
              <w:t>付款方式</w:t>
            </w:r>
          </w:p>
        </w:tc>
        <w:tc>
          <w:tcPr>
            <w:tcW w:w="5494" w:type="dxa"/>
            <w:noWrap w:val="0"/>
            <w:vAlign w:val="center"/>
          </w:tcPr>
          <w:p w14:paraId="791A1D32">
            <w:pPr>
              <w:spacing w:line="360" w:lineRule="auto"/>
              <w:jc w:val="center"/>
              <w:rPr>
                <w:rFonts w:ascii="宋体" w:hAnsi="宋体" w:eastAsia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highlight w:val="none"/>
              </w:rPr>
              <w:t>安装、验收合格后按实一次性支付</w:t>
            </w:r>
          </w:p>
        </w:tc>
      </w:tr>
      <w:tr w14:paraId="0A6C2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75" w:type="dxa"/>
            <w:noWrap w:val="0"/>
            <w:vAlign w:val="center"/>
          </w:tcPr>
          <w:p w14:paraId="2677D7EE">
            <w:pPr>
              <w:jc w:val="center"/>
              <w:rPr>
                <w:rFonts w:ascii="宋体" w:hAnsi="宋体" w:eastAsia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highlight w:val="none"/>
              </w:rPr>
              <w:t>2</w:t>
            </w:r>
          </w:p>
        </w:tc>
        <w:tc>
          <w:tcPr>
            <w:tcW w:w="2391" w:type="dxa"/>
            <w:noWrap w:val="0"/>
            <w:vAlign w:val="center"/>
          </w:tcPr>
          <w:p w14:paraId="256A3956">
            <w:pPr>
              <w:jc w:val="center"/>
              <w:rPr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供货及安装地点</w:t>
            </w:r>
          </w:p>
        </w:tc>
        <w:tc>
          <w:tcPr>
            <w:tcW w:w="5494" w:type="dxa"/>
            <w:noWrap w:val="0"/>
            <w:vAlign w:val="center"/>
          </w:tcPr>
          <w:p w14:paraId="186ACFBF">
            <w:pPr>
              <w:jc w:val="center"/>
              <w:rPr>
                <w:rFonts w:hint="default" w:ascii="宋体" w:hAnsi="宋体" w:eastAsia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highlight w:val="none"/>
                <w:lang w:val="en-US" w:eastAsia="zh-CN"/>
              </w:rPr>
              <w:t>安庆市第六人民医院指定地点</w:t>
            </w:r>
          </w:p>
        </w:tc>
      </w:tr>
      <w:tr w14:paraId="79C7A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75" w:type="dxa"/>
            <w:noWrap w:val="0"/>
            <w:vAlign w:val="center"/>
          </w:tcPr>
          <w:p w14:paraId="020C41A2">
            <w:pPr>
              <w:jc w:val="center"/>
              <w:rPr>
                <w:rFonts w:ascii="宋体" w:hAnsi="宋体" w:eastAsia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highlight w:val="none"/>
              </w:rPr>
              <w:t>3</w:t>
            </w:r>
          </w:p>
        </w:tc>
        <w:tc>
          <w:tcPr>
            <w:tcW w:w="2391" w:type="dxa"/>
            <w:noWrap w:val="0"/>
            <w:vAlign w:val="center"/>
          </w:tcPr>
          <w:p w14:paraId="22CF582F">
            <w:pPr>
              <w:jc w:val="center"/>
              <w:rPr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合同履行期限</w:t>
            </w:r>
          </w:p>
        </w:tc>
        <w:tc>
          <w:tcPr>
            <w:tcW w:w="5494" w:type="dxa"/>
            <w:noWrap w:val="0"/>
            <w:vAlign w:val="center"/>
          </w:tcPr>
          <w:p w14:paraId="3CDB828B">
            <w:pPr>
              <w:jc w:val="center"/>
              <w:rPr>
                <w:rFonts w:hint="default" w:ascii="宋体" w:hAnsi="宋体" w:eastAsia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highlight w:val="none"/>
              </w:rPr>
              <w:t>合同签订后</w:t>
            </w:r>
            <w:r>
              <w:rPr>
                <w:rFonts w:hint="eastAsia" w:ascii="宋体" w:hAnsi="宋体" w:eastAsia="宋体"/>
                <w:color w:val="000000"/>
                <w:sz w:val="24"/>
                <w:highlight w:val="none"/>
                <w:lang w:val="en-US" w:eastAsia="zh-CN"/>
              </w:rPr>
              <w:t>30日历天完成安装</w:t>
            </w:r>
          </w:p>
        </w:tc>
      </w:tr>
    </w:tbl>
    <w:p w14:paraId="1776B8EE">
      <w:pPr>
        <w:bidi w:val="0"/>
        <w:rPr>
          <w:rFonts w:hint="eastAsia" w:ascii="宋体" w:hAnsi="宋体" w:cs="宋体"/>
          <w:color w:val="000000"/>
          <w:kern w:val="0"/>
          <w:sz w:val="24"/>
          <w:lang w:val="en-US" w:eastAsia="zh-CN"/>
        </w:rPr>
      </w:pPr>
    </w:p>
    <w:p w14:paraId="306FC3DE">
      <w:pPr>
        <w:bidi w:val="0"/>
        <w:rPr>
          <w:rFonts w:hint="eastAsia" w:ascii="宋体" w:hAnsi="宋体" w:cs="宋体"/>
          <w:color w:val="000000"/>
          <w:kern w:val="0"/>
          <w:sz w:val="24"/>
          <w:lang w:val="en-US" w:eastAsia="zh-CN"/>
        </w:rPr>
      </w:pPr>
    </w:p>
    <w:p w14:paraId="4789D989">
      <w:pPr>
        <w:bidi w:val="0"/>
        <w:rPr>
          <w:rFonts w:hint="eastAsia" w:ascii="宋体" w:hAnsi="宋体" w:cs="宋体"/>
          <w:color w:val="000000"/>
          <w:kern w:val="0"/>
          <w:sz w:val="24"/>
          <w:lang w:val="en-US" w:eastAsia="zh-CN"/>
        </w:rPr>
      </w:pPr>
    </w:p>
    <w:p w14:paraId="0AFE5838">
      <w:pPr>
        <w:bidi w:val="0"/>
        <w:rPr>
          <w:rFonts w:hint="eastAsia" w:ascii="宋体" w:hAnsi="宋体" w:cs="宋体"/>
          <w:color w:val="000000"/>
          <w:kern w:val="0"/>
          <w:sz w:val="24"/>
          <w:lang w:val="en-US" w:eastAsia="zh-CN"/>
        </w:rPr>
      </w:pPr>
    </w:p>
    <w:p w14:paraId="541AEC56">
      <w:pPr>
        <w:bidi w:val="0"/>
        <w:rPr>
          <w:rFonts w:hint="eastAsia" w:ascii="宋体" w:hAnsi="宋体" w:cs="宋体"/>
          <w:color w:val="000000"/>
          <w:kern w:val="0"/>
          <w:sz w:val="24"/>
          <w:lang w:val="en-US" w:eastAsia="zh-CN"/>
        </w:rPr>
      </w:pPr>
    </w:p>
    <w:p w14:paraId="6B857757">
      <w:pPr>
        <w:bidi w:val="0"/>
        <w:rPr>
          <w:rFonts w:hint="eastAsia" w:ascii="宋体" w:hAnsi="宋体" w:cs="宋体"/>
          <w:color w:val="000000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技术要求一览表</w:t>
      </w:r>
    </w:p>
    <w:tbl>
      <w:tblPr>
        <w:tblStyle w:val="10"/>
        <w:tblpPr w:leftFromText="180" w:rightFromText="180" w:vertAnchor="text" w:horzAnchor="page" w:tblpXSpec="center" w:tblpY="285"/>
        <w:tblOverlap w:val="never"/>
        <w:tblW w:w="98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020"/>
        <w:gridCol w:w="6165"/>
        <w:gridCol w:w="870"/>
        <w:gridCol w:w="1043"/>
      </w:tblGrid>
      <w:tr w14:paraId="5A01F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7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noWrap w:val="0"/>
            <w:vAlign w:val="center"/>
          </w:tcPr>
          <w:p w14:paraId="29817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noWrap w:val="0"/>
            <w:vAlign w:val="center"/>
          </w:tcPr>
          <w:p w14:paraId="658BF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6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noWrap w:val="0"/>
            <w:vAlign w:val="center"/>
          </w:tcPr>
          <w:p w14:paraId="4FA07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主要技术参数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noWrap w:val="0"/>
            <w:vAlign w:val="center"/>
          </w:tcPr>
          <w:p w14:paraId="4CE6E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noWrap w:val="0"/>
            <w:vAlign w:val="center"/>
          </w:tcPr>
          <w:p w14:paraId="517E3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07F9D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7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E11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475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电子显示屏</w:t>
            </w:r>
          </w:p>
        </w:tc>
        <w:tc>
          <w:tcPr>
            <w:tcW w:w="6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344EDB3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显示屏净尺寸：168cm*224cm*2 （两块4:3 ）</w:t>
            </w:r>
          </w:p>
          <w:p w14:paraId="3AFFECA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1.像素点间距：≤1.538mm，像素密度：≥422,500 Dots/㎡，</w:t>
            </w:r>
          </w:p>
          <w:p w14:paraId="695DBB2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2.★为了提高整屏安装的平整度和安装效率，采用模组尺寸为320*240mm（提供由第三方权威检测机构出具带有CMA标志的检测报告复印件，加盖供应商公章）；</w:t>
            </w:r>
          </w:p>
          <w:p w14:paraId="445630E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★封装方式：SMD表贴三合一，五面黑灯，表面不反光；整屏平整度≤0.05mm，模组平整度≤0.03mm；水平视角≥175°；垂直视角≥175°（提供由第三方权威检测机构出具带有CMA标志的检测报告复印件，加盖制造商公章）；</w:t>
            </w:r>
          </w:p>
          <w:p w14:paraId="54F00C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4.峰值功耗≤250W/m²；平均功耗≤100W/m²；供电电源：支持在4.2Vdc-5Vdc范围内能正常工作；输入电压：支持宽压输入在96-264VAC，在该范围内能正常工作；</w:t>
            </w:r>
          </w:p>
          <w:p w14:paraId="7A1DCFF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★为了所投电子显示屏产品的安全性和适应性，屏体内部所用排线需符合耐高温实验、耐压测试、折弯参数测试要求，耐燃等级符合VW-1/UL94V-0（提供由第三方权威检测机构出具带有CMA标志的与显示屏同一品牌的排线检测报告复印件，加盖供应商公章）；</w:t>
            </w:r>
          </w:p>
          <w:p w14:paraId="04BC1FB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★防列亮电路设计：电子显示屏全彩灯珠采用防列亮电路设计，红光LED晶片、绿光LED晶片和蓝光LED晶片的正极分别通过导电丝与公共极盘连接导通，红光LED晶片、绿光LED晶片和蓝光LED晶片的负极与红光固晶焊盘、绿光固晶焊盘和蓝光固晶焊盘分别导通，能有效防止电子显示屏出现“显示列亮”现象（提供由第三方权威检测机构出具带有CMA标志的检测报告复印件，加盖供应商公章）；</w:t>
            </w:r>
          </w:p>
          <w:p w14:paraId="70B0EEA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7.★过载试验：根据GB 4943.1-2022标准，进行过载试验，测试结束后，电阻变化量不超过20%未失效（提供由第三方权威检测机构出具带有CMA标志的检测报告复印件，加盖供应商公章）；</w:t>
            </w:r>
          </w:p>
          <w:p w14:paraId="43A8766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★峰值亮度调节：采用行方向空间锐化算法增强显示细节，结合动态亮度调节技术优化对比度。系统通过非线性亮度映射将高亮区域归一化亮度值降至0.6，低亮区域降至0.8；在低光环境整屏亮度偏暗时，整体亮度归一化值调整至0.8；精准调控亮度，在保持视觉舒适下实现节能效果（提供由第三方权威检测机构出具带有CMA标志的检测报告复印件，加盖供应商公章）；</w:t>
            </w:r>
          </w:p>
          <w:p w14:paraId="41ABA1E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★智能除湿：配备智能屏幕除湿系统，用户完成设置并开机后，无需手动点击选择不同亮度与时间参数，系统将自动进入除湿模式。同时，该系统支持用户自定义预热参数。借助先进的除湿技术，能够有效减少屏幕表面冷凝水汽的积聚，降低因环境湿度变化导致的灯点失效、内部短路以及显示暗亮等故障发生的概率，进而延长显示屏的整体使用寿命（提供由第三方权威检测机构出具带有CMA标志的检测报告复印件，加盖供应商公章）；</w:t>
            </w:r>
          </w:p>
          <w:p w14:paraId="380604B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10.★采用集中式RGB温控矩阵技术，通过RGB驱动一体化均温ITEC架构，实现温度均匀分布，消除显示色带（提供由第三方权威检测机构出具带有CMA志的检测报告复印件，加盖供应商公章）；</w:t>
            </w:r>
          </w:p>
          <w:p w14:paraId="2CF940E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★采用塑钢底壳，通过长玻纤复合材料的定向增强特性与三维网状结构协同作用，量化抗冲击与抗变形性能，直接对标传统材质短板；塑钢底壳抗变形能力较常规料底壳提升≥30%，抗冲击强度≥85kJ/m²（提供由第三方权威检测机构出具带有CMA标志的检测报告复印件，加盖供应商公章）；</w:t>
            </w:r>
          </w:p>
          <w:p w14:paraId="62F909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★正常播放视频状态下点亮5分钟后产品表面温度升幅≤1.5℃，点亮10分钟后其温度升幅≤8℃；产品在白平衡状态下点亮5分钟后产品表面温度升幅≤8℃，点亮10分钟后其温度升幅≤18℃；产品正常使用工作达到热平衡状态后，屏体结构金属部分温度升幅≤30℃，绝缘材料温度升幅≤30℃（提供由第三方权威检测机构出具带有CMA标志的检测报告复印件，加盖供应商公章）；</w:t>
            </w:r>
          </w:p>
          <w:p w14:paraId="603F18B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13.★静态及运动图像清晰度、大面积色彩还原、图像均匀性、拼装精度、亮度鉴别等级、伪轮廓现象、回扫线或频闪现象、虚影现象、图像稳定性根据SJ/T 11590-2016《LED显示屏图像质量主观评价方法》测试符合评价优（5分）（提供由第三方权威检测机构出具带有CMA标志的检测报告复印件，加盖供应商公章）；</w:t>
            </w:r>
          </w:p>
          <w:p w14:paraId="4CDC880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14.★具备0级防霉特性，符合GBT2423.16-2022《环境试验 第2部分：试验方法 试验J和导则：长霉》的测试要求，可防黑曲霉、土曲霉、球毛壳霉、绳状青霉、绿色木霉等（提供由第三方权威检测机构出具带有CMA标志的检测报告复印件，加盖供应商公章）；</w:t>
            </w:r>
          </w:p>
          <w:p w14:paraId="28A100B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★防信号远程窃密技术：具有良好的抗还原性能，具有良好的覆盖性，实现无缝干扰，覆盖范围广，从99KHz~1.2GHz，抑制传导辐射，对视频信息无二次转发与加强作用；干扰信号强度10KHz~230MHz：小于90dBuV；干扰信号强度235MHz~l.2GHz：小于97dBuV；传导抑制＞36dB；可以单机使用、可以组网使用（提供由第三方权威检测机构出具带有CMA标志的检测报告复印件，加盖供应商公章）；</w:t>
            </w:r>
          </w:p>
          <w:p w14:paraId="6D24BAA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★防电力远程窃密技术：采用信息相关方式阻止电力通信，采用电子对抗原理，防止电磁传导辐射泄露有用信息，防止劫持相关控制设备；覆盖范围：1.1KHz~1.5GHz；输入/输出电源滤波设计抑制信号强度，具有很好的电磁兼容性（提供由第三方权威检测机构出具带有CMA标志的检测报告复印件，加盖供应商公章）；</w:t>
            </w:r>
          </w:p>
          <w:p w14:paraId="32DA386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★为不影响屏体周边人员的健康，要求投标人所投电子显示屏在正常工作中，显示屏1m范围内，前后左右4个位置噪声小于1.4dB；所投电子显示屏观看舒适度需符合：“人眼视觉舒适度(VICO)≤1级，基本无疲劳感（提供由第三方权威检测机构出具带有CMA标志的检测报告复印件，加盖供应商公章）；</w:t>
            </w:r>
          </w:p>
          <w:p w14:paraId="2D9C913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★所投电子显示屏的灯管耐焊耐热：灯珠引脚无氧化，焊接正常，灯珠胶体正常，点亮正常；灯管抗静电（ESD）测试：HBM模式：ESD&gt;2000V，灯珠点亮无异常（提供由第三方权威检测机构出具带有CMA标志的检测报告复印件，加盖供应商公章）；</w:t>
            </w:r>
          </w:p>
          <w:p w14:paraId="0279F80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19.色温800K—20000K可调；白平衡状态下色温在6500K±5%；色温为6500K时，100%75%50%25%档电平白场调节色温误差≤90K；NTSC色域覆盖率：≥130%；</w:t>
            </w:r>
          </w:p>
          <w:p w14:paraId="60FF83F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20.支持鬼影消除、首行暗亮消除、低灰偏色补偿、低灰均匀性、低灰横条纹消除、慢速开启、十字架消除、去坏点、毛毛虫消除、余辉消除、亮度缓慢变亮功能；</w:t>
            </w:r>
          </w:p>
          <w:p w14:paraId="0FD07D0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21.为保证产品使用安全，静电电压衰减期（±1000-±100V）≤2S；摩擦起电电压|V|≤100V；</w:t>
            </w:r>
          </w:p>
          <w:p w14:paraId="3F93130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22.★为保证所提供产品来源正规，投标人需承诺中标后在签订合同时提供加盖制造商公章的授权、质保承诺书等（承诺格式自拟）；</w:t>
            </w:r>
          </w:p>
          <w:p w14:paraId="7A4CE9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.★为了系统的兼容性，便于统一产品性能，保证使用效果，方便整体售后和维修，要求本次项目中的电子显示屏、接收卡、视频处理器（视频发送器）、电源均为同一品牌产品（需提供同一厂家的检测报告或3C认证证书复印件证明，加盖供应商公章）。                                                                        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90D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C604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7.5264</w:t>
            </w:r>
          </w:p>
        </w:tc>
      </w:tr>
      <w:tr w14:paraId="4F119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0E5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DC5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接收卡</w:t>
            </w:r>
          </w:p>
        </w:tc>
        <w:tc>
          <w:tcPr>
            <w:tcW w:w="6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791FABE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1.采用8路HUB320接口，输出信号至LED模组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2、支持单卡最大带载256×1024（不同应用或有差异）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10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6464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1593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C21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608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视频控制器</w:t>
            </w:r>
          </w:p>
        </w:tc>
        <w:tc>
          <w:tcPr>
            <w:tcW w:w="6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5DBD777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1.采用1U标准机箱，配置4路Neutrik etherCON千兆网口，输出连接显示屏幕；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2.支持单机最大带载260万像素点，最宽或最高4096像素；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3.支持1路HDMI、1路DP、1路DVI、2路SDI视频信号输入；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4.支持最大输入分辨率1920×1200@60Hz；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5.支持8bit色深视频源输入；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6.支持1路HDMI_LOOP、1路DVI_LOOP视频环出；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7.支持低延迟，最低可达零帧；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8.支持3画面显示，画面大小和位置可自由调节；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9.支持视频信号任意裁剪、切换、缩放；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10.支持16个场景的保存和调用；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11.支持亮度调节，通过液晶面板或软件可达100级控制；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12.支持色温调节，可调节显示屏2000K～10000K区间色温值；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13.支持低亮高灰，有效保证低亮度下的灰阶完整显示；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14.支持精确颜色管理，可调节显示屏色域；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15.支持画面调整，可调节设备输出的色调、饱和度、对比度、亮度补偿；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16.支持亮度自动调节，通过多功能卡配置亮度传感器；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17.支持单机网口冗余备份和双机冗余备份；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18.支持HDCP协议的高带宽数字内容保护技术；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19.支持USB、LAN网口控制；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20.支持Art-Net控制；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21.支持Neutrik powerCON电源接口。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22.工作电压：AC 100V～240V,50/60Hz，额定功率20W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F21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0FF1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2E67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7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5D5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4FA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</w:t>
            </w:r>
          </w:p>
        </w:tc>
        <w:tc>
          <w:tcPr>
            <w:tcW w:w="6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317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1.输出功率200W，额定输入电压200-240Vac，输出电压5V；                                              2.输出电流0-40A，稳压精度±2%，纹波及噪声200mV；                                                   3.输入电压范围190-264Vac，功率88%；                                                              4.工作温度。湿度-30+60℃，储存温度-40+80℃。10%～50% RH无冷凝。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DB9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6EC1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86D7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A68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6E0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</w:t>
            </w:r>
          </w:p>
        </w:tc>
        <w:tc>
          <w:tcPr>
            <w:tcW w:w="6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28B3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根据现场勘测订制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7BB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BA88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8.6016</w:t>
            </w:r>
          </w:p>
        </w:tc>
      </w:tr>
      <w:tr w14:paraId="66A18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172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B6E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连接线及辅材</w:t>
            </w:r>
          </w:p>
        </w:tc>
        <w:tc>
          <w:tcPr>
            <w:tcW w:w="6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A79E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视频、音频线缆、电源线、信号传输线缆、网线、HDMI线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54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45CF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D336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D03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F32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配电柜+强电布线</w:t>
            </w:r>
          </w:p>
        </w:tc>
        <w:tc>
          <w:tcPr>
            <w:tcW w:w="6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C670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配电柜给大屏设备供电需按照标准网络机房供电标准设计安装供电；                                       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C8C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26C2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38BF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  <w:jc w:val="center"/>
        </w:trPr>
        <w:tc>
          <w:tcPr>
            <w:tcW w:w="7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A47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D27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大屏控制主机</w:t>
            </w:r>
          </w:p>
        </w:tc>
        <w:tc>
          <w:tcPr>
            <w:tcW w:w="6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36031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CPU：intel 12代I5及以上（带核显）；                                                2.内存：16G*2；                                                                        3.硬盘：1T固态 （M.2接口，读取速度不低于3200MB/s）；                                            4.显卡：RTX 3050/6G独显（芯片RTX3050  显存6GB GDDR6 96-bit,2*HDMI,2*DP）；</w:t>
            </w:r>
          </w:p>
          <w:p w14:paraId="181ECEB9">
            <w:pPr>
              <w:pStyle w:val="2"/>
              <w:numPr>
                <w:ilvl w:val="0"/>
                <w:numId w:val="0"/>
              </w:numPr>
              <w:spacing w:before="0" w:beforeAutospacing="0" w:after="0" w:afterAutospacing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  <w:t>5.</w:t>
            </w:r>
            <w:r>
              <w:rPr>
                <w:rFonts w:hint="eastAsia" w:ascii="Calibri" w:hAnsi="Calibri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  <w:t>DVI转HDMI*2。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8CF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C3E4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A1DF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  <w:jc w:val="center"/>
        </w:trPr>
        <w:tc>
          <w:tcPr>
            <w:tcW w:w="79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794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810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系统接入</w:t>
            </w:r>
          </w:p>
        </w:tc>
        <w:tc>
          <w:tcPr>
            <w:tcW w:w="6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A892E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1.显示屏需接入医院系统，实现统一管理平台、内容发布与编排、多系统对接与联动、远程控制与监控、安全防护与权限管理；</w:t>
            </w:r>
          </w:p>
          <w:p w14:paraId="5557687D">
            <w:pPr>
              <w:pStyle w:val="2"/>
              <w:numPr>
                <w:ilvl w:val="0"/>
                <w:numId w:val="0"/>
              </w:numPr>
              <w:spacing w:before="0" w:beforeAutospacing="0" w:after="0" w:afterAutospacing="0"/>
              <w:rPr>
                <w:rFonts w:hint="default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  <w:t>2</w:t>
            </w:r>
            <w:r>
              <w:rPr>
                <w:rFonts w:hint="eastAsia" w:ascii="Calibri" w:hAnsi="Calibri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  <w:t>.原有系统数据需做备份及迁移，新老系统通过同一台屏控主机集中管理。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70E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10E0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 w14:paraId="301C0A79">
      <w:pPr>
        <w:bidi w:val="0"/>
        <w:rPr>
          <w:rFonts w:hint="eastAsia" w:ascii="宋体" w:hAnsi="宋体" w:cs="宋体"/>
          <w:color w:val="000000"/>
          <w:kern w:val="0"/>
          <w:sz w:val="24"/>
          <w:lang w:val="en-US" w:eastAsia="zh-CN"/>
        </w:rPr>
      </w:pPr>
    </w:p>
    <w:p w14:paraId="149FF74B">
      <w:pPr>
        <w:widowControl/>
        <w:textAlignment w:val="bottom"/>
        <w:rPr>
          <w:rFonts w:hint="eastAsia" w:ascii="宋体" w:hAnsi="宋体" w:cs="宋体"/>
          <w:color w:val="000000"/>
          <w:kern w:val="0"/>
          <w:sz w:val="24"/>
        </w:rPr>
      </w:pPr>
    </w:p>
    <w:p w14:paraId="5E8C1074">
      <w:pPr>
        <w:widowControl/>
        <w:ind w:firstLine="480" w:firstLineChars="200"/>
        <w:textAlignment w:val="bottom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备注：响应文件中须按要求逐项提供证明材料（如检测报告、截图等），否则按无效响应处理。</w:t>
      </w:r>
    </w:p>
    <w:p w14:paraId="473B5E11">
      <w:pPr>
        <w:widowControl/>
        <w:ind w:firstLine="480" w:firstLineChars="200"/>
        <w:textAlignment w:val="bottom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说明：</w:t>
      </w:r>
    </w:p>
    <w:p w14:paraId="6D5317BB">
      <w:pPr>
        <w:widowControl/>
        <w:numPr>
          <w:ilvl w:val="0"/>
          <w:numId w:val="2"/>
        </w:numPr>
        <w:textAlignment w:val="bottom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响应人的响应文件必须标明所投设备的名称、生产厂家、品牌、型号、单位、数量、单价和总价等内容。保证原厂正品供货，提供相关资料等；</w:t>
      </w:r>
    </w:p>
    <w:p w14:paraId="624A3862">
      <w:pPr>
        <w:widowControl/>
        <w:numPr>
          <w:ilvl w:val="0"/>
          <w:numId w:val="2"/>
        </w:numPr>
        <w:textAlignment w:val="bottom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报价应包含满足本次采购需求的所有费用（包括但不限于：所投设备、保险、税费、包装、加工及加工损耗、运输、现场落地、安装及安装损耗、调试、检测验收和交付后约定期限内维保等 ）；</w:t>
      </w:r>
    </w:p>
    <w:p w14:paraId="5C319BCC">
      <w:pPr>
        <w:widowControl/>
        <w:numPr>
          <w:ilvl w:val="0"/>
          <w:numId w:val="2"/>
        </w:numPr>
        <w:textAlignment w:val="bottom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为鼓励不同品牌的充分竞争，如某设备的某技术参数或要求属于个别品牌专有，则该技术参数及要求不具有限制性，响应人可对该参数或要求进行适当调整，但这种调整整体上要优于或相当于自行公开询价通知书的相关要求，并说明调整理由，且该调整须经评标小组审核认可；</w:t>
      </w:r>
    </w:p>
    <w:p w14:paraId="1A81A567">
      <w:pPr>
        <w:widowControl/>
        <w:numPr>
          <w:ilvl w:val="0"/>
          <w:numId w:val="2"/>
        </w:numPr>
        <w:textAlignment w:val="bottom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项目验收时，需对自行公开询价通知书功能及技术参数要求进行核对；</w:t>
      </w:r>
    </w:p>
    <w:p w14:paraId="5C2DB975">
      <w:pPr>
        <w:widowControl/>
        <w:numPr>
          <w:ilvl w:val="0"/>
          <w:numId w:val="2"/>
        </w:numPr>
        <w:textAlignment w:val="bottom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验收报告需提供所安装的系统件合格证、保修卡、发货清单等材料；</w:t>
      </w:r>
    </w:p>
    <w:p w14:paraId="3FDCEEA7">
      <w:pPr>
        <w:widowControl/>
        <w:numPr>
          <w:ilvl w:val="0"/>
          <w:numId w:val="2"/>
        </w:numPr>
        <w:textAlignment w:val="bottom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本项目根据系统建设需要提供必备的安装施工辅材及配件等，系统最终功能及应用必须满足采购人要求，方可进行最终验收；</w:t>
      </w:r>
    </w:p>
    <w:p w14:paraId="1747005A">
      <w:pPr>
        <w:widowControl/>
        <w:numPr>
          <w:ilvl w:val="0"/>
          <w:numId w:val="2"/>
        </w:numPr>
        <w:textAlignment w:val="bottom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保修及售后服务：依据商品的保修条款及售后服务条款，提供原厂质保，质保期按照国家规定，且不低于所供品牌向用户承诺的质保期限，自行公开询价通知书另有约定的从其约定。质保期从货物验收合格后算起。</w:t>
      </w:r>
    </w:p>
    <w:p w14:paraId="257298BE">
      <w:pPr>
        <w:spacing w:line="240" w:lineRule="auto"/>
        <w:rPr>
          <w:rFonts w:hint="default" w:ascii="宋体" w:hAnsi="宋体" w:eastAsia="宋体" w:cs="宋体"/>
          <w:bCs/>
          <w:color w:val="FF0000"/>
          <w:sz w:val="32"/>
          <w:szCs w:val="32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42C02E"/>
    <w:multiLevelType w:val="singleLevel"/>
    <w:tmpl w:val="3642C02E"/>
    <w:lvl w:ilvl="0" w:tentative="0">
      <w:start w:val="1"/>
      <w:numFmt w:val="decimal"/>
      <w:suff w:val="nothing"/>
      <w:lvlText w:val="(%1)"/>
      <w:lvlJc w:val="left"/>
      <w:pPr>
        <w:ind w:left="-147" w:firstLine="567"/>
      </w:pPr>
      <w:rPr>
        <w:rFonts w:hint="default"/>
      </w:rPr>
    </w:lvl>
  </w:abstractNum>
  <w:abstractNum w:abstractNumId="1">
    <w:nsid w:val="55C3F5B6"/>
    <w:multiLevelType w:val="singleLevel"/>
    <w:tmpl w:val="55C3F5B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NmOGFlOTFhMTc5NTVlZjg1MjRjOTZhYmJlOTM4MDkifQ=="/>
  </w:docVars>
  <w:rsids>
    <w:rsidRoot w:val="00010C51"/>
    <w:rsid w:val="00010C51"/>
    <w:rsid w:val="000646A7"/>
    <w:rsid w:val="00076417"/>
    <w:rsid w:val="000A6479"/>
    <w:rsid w:val="001D150F"/>
    <w:rsid w:val="001D7216"/>
    <w:rsid w:val="0028178C"/>
    <w:rsid w:val="00430906"/>
    <w:rsid w:val="004762DF"/>
    <w:rsid w:val="0049237E"/>
    <w:rsid w:val="005B3DA1"/>
    <w:rsid w:val="005B5118"/>
    <w:rsid w:val="005E0690"/>
    <w:rsid w:val="005E6FD6"/>
    <w:rsid w:val="00654E51"/>
    <w:rsid w:val="00664687"/>
    <w:rsid w:val="006C650C"/>
    <w:rsid w:val="006E6249"/>
    <w:rsid w:val="006F1AC2"/>
    <w:rsid w:val="00716BBE"/>
    <w:rsid w:val="00776122"/>
    <w:rsid w:val="00794219"/>
    <w:rsid w:val="007F5E82"/>
    <w:rsid w:val="0082326A"/>
    <w:rsid w:val="008342CE"/>
    <w:rsid w:val="00863A66"/>
    <w:rsid w:val="00896CB4"/>
    <w:rsid w:val="008D3460"/>
    <w:rsid w:val="008E6B12"/>
    <w:rsid w:val="00917169"/>
    <w:rsid w:val="00934218"/>
    <w:rsid w:val="00974680"/>
    <w:rsid w:val="00997BD9"/>
    <w:rsid w:val="009F74AF"/>
    <w:rsid w:val="00A4660A"/>
    <w:rsid w:val="00B642DE"/>
    <w:rsid w:val="00BC1EC9"/>
    <w:rsid w:val="00CC0B7A"/>
    <w:rsid w:val="00CC62D0"/>
    <w:rsid w:val="00CD4957"/>
    <w:rsid w:val="00D11E0E"/>
    <w:rsid w:val="00D876A1"/>
    <w:rsid w:val="00D97714"/>
    <w:rsid w:val="00E91143"/>
    <w:rsid w:val="00E97D38"/>
    <w:rsid w:val="00EA49CB"/>
    <w:rsid w:val="034E6D0B"/>
    <w:rsid w:val="06A86E3F"/>
    <w:rsid w:val="07BA4739"/>
    <w:rsid w:val="0AA94594"/>
    <w:rsid w:val="0ED17DA0"/>
    <w:rsid w:val="135F064C"/>
    <w:rsid w:val="139C222E"/>
    <w:rsid w:val="16D86CD1"/>
    <w:rsid w:val="1A2B4094"/>
    <w:rsid w:val="1FED1D1A"/>
    <w:rsid w:val="20130262"/>
    <w:rsid w:val="2032282C"/>
    <w:rsid w:val="203D250F"/>
    <w:rsid w:val="20931C4F"/>
    <w:rsid w:val="21B97D7C"/>
    <w:rsid w:val="22240F8D"/>
    <w:rsid w:val="24595CC8"/>
    <w:rsid w:val="26235823"/>
    <w:rsid w:val="279810A2"/>
    <w:rsid w:val="2DC2219E"/>
    <w:rsid w:val="2DD318C1"/>
    <w:rsid w:val="2EC11750"/>
    <w:rsid w:val="2EFF695E"/>
    <w:rsid w:val="32580D5B"/>
    <w:rsid w:val="37EA23C0"/>
    <w:rsid w:val="3BFE582E"/>
    <w:rsid w:val="3CED4023"/>
    <w:rsid w:val="409328BD"/>
    <w:rsid w:val="41227168"/>
    <w:rsid w:val="41BE7411"/>
    <w:rsid w:val="49A876EA"/>
    <w:rsid w:val="4A1B5BC0"/>
    <w:rsid w:val="4ED80C18"/>
    <w:rsid w:val="546257F6"/>
    <w:rsid w:val="55FF1F3C"/>
    <w:rsid w:val="5BE05AFB"/>
    <w:rsid w:val="5C7934D8"/>
    <w:rsid w:val="5DC539C0"/>
    <w:rsid w:val="5DD1419D"/>
    <w:rsid w:val="615946D9"/>
    <w:rsid w:val="67903754"/>
    <w:rsid w:val="67AC7640"/>
    <w:rsid w:val="68394017"/>
    <w:rsid w:val="6DD970BA"/>
    <w:rsid w:val="74D2445C"/>
    <w:rsid w:val="770340EE"/>
    <w:rsid w:val="778221C6"/>
    <w:rsid w:val="7A52049B"/>
    <w:rsid w:val="7BA00A2B"/>
    <w:rsid w:val="7C007078"/>
    <w:rsid w:val="7CF96306"/>
    <w:rsid w:val="7E5E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6"/>
    <w:basedOn w:val="1"/>
    <w:link w:val="15"/>
    <w:qFormat/>
    <w:uiPriority w:val="9"/>
    <w:pPr>
      <w:widowControl/>
      <w:spacing w:before="100" w:beforeAutospacing="1" w:after="100" w:afterAutospacing="1"/>
      <w:jc w:val="left"/>
      <w:outlineLvl w:val="5"/>
    </w:pPr>
    <w:rPr>
      <w:rFonts w:ascii="宋体" w:hAnsi="宋体" w:eastAsia="宋体" w:cs="宋体"/>
      <w:b/>
      <w:bCs/>
      <w:kern w:val="0"/>
      <w:sz w:val="15"/>
      <w:szCs w:val="15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autoSpaceDE w:val="0"/>
      <w:autoSpaceDN w:val="0"/>
      <w:adjustRightInd w:val="0"/>
      <w:spacing w:line="360" w:lineRule="auto"/>
      <w:ind w:firstLine="420"/>
      <w:jc w:val="left"/>
    </w:pPr>
    <w:rPr>
      <w:rFonts w:ascii="宋体" w:hAnsi="Times New Roman" w:eastAsia="宋体" w:cs="Times New Roman"/>
      <w:kern w:val="0"/>
      <w:sz w:val="24"/>
    </w:rPr>
  </w:style>
  <w:style w:type="paragraph" w:styleId="5">
    <w:name w:val="Body Text"/>
    <w:basedOn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6">
    <w:name w:val="Plain Text"/>
    <w:basedOn w:val="1"/>
    <w:link w:val="16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4">
    <w:name w:val="标题 2 字符"/>
    <w:basedOn w:val="11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标题 6 字符"/>
    <w:basedOn w:val="11"/>
    <w:link w:val="3"/>
    <w:qFormat/>
    <w:uiPriority w:val="9"/>
    <w:rPr>
      <w:rFonts w:ascii="宋体" w:hAnsi="宋体" w:eastAsia="宋体" w:cs="宋体"/>
      <w:b/>
      <w:bCs/>
      <w:kern w:val="0"/>
      <w:sz w:val="15"/>
      <w:szCs w:val="15"/>
    </w:rPr>
  </w:style>
  <w:style w:type="character" w:customStyle="1" w:styleId="16">
    <w:name w:val="纯文本 字符"/>
    <w:basedOn w:val="11"/>
    <w:link w:val="6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4162</Words>
  <Characters>4848</Characters>
  <Lines>2</Lines>
  <Paragraphs>1</Paragraphs>
  <TotalTime>2</TotalTime>
  <ScaleCrop>false</ScaleCrop>
  <LinksUpToDate>false</LinksUpToDate>
  <CharactersWithSpaces>5305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2020-10-22T01:09:00Z</dcterms:created>
  <dc:creator>Administrator</dc:creator>
  <cp:lastModifiedBy>王宝宜</cp:lastModifiedBy>
  <cp:lastPrinted>2026-03-26T00:05:00Z</cp:lastPrinted>
  <dcterms:modified xsi:type="dcterms:W3CDTF">2026-05-05T00:33:42Z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74EEB3273C6B441CACD9BE7ABF8EBC82_13</vt:lpwstr>
  </property>
  <property fmtid="{D5CDD505-2E9C-101B-9397-08002B2CF9AE}" pid="4" name="KSOTemplateDocerSaveRecord">
    <vt:lpwstr>eyJoZGlkIjoiM2ZkNzA0YTVjYTVhYTU3YTJkMmQwOGM0MjFmYjEwMzIiLCJ1c2VySWQiOiI1NjQ3ODk3NjUifQ==</vt:lpwstr>
  </property>
</Properties>
</file>