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CB26E">
      <w:pPr>
        <w:spacing w:line="360" w:lineRule="auto"/>
        <w:jc w:val="center"/>
        <w:outlineLvl w:val="0"/>
        <w:rPr>
          <w:rFonts w:asciiTheme="minorEastAsia" w:hAnsiTheme="minorEastAsia" w:eastAsiaTheme="minorEastAsia"/>
          <w:b/>
          <w:sz w:val="28"/>
        </w:rPr>
      </w:pPr>
      <w:bookmarkStart w:id="6" w:name="_GoBack"/>
      <w:bookmarkEnd w:id="6"/>
      <w:r>
        <w:rPr>
          <w:rFonts w:hint="eastAsia" w:asciiTheme="minorEastAsia" w:hAnsiTheme="minorEastAsia" w:eastAsiaTheme="minorEastAsia"/>
          <w:b/>
          <w:sz w:val="28"/>
        </w:rPr>
        <w:t>安庆市第六人民医院打印机维保服务采购项目采购需求</w:t>
      </w:r>
    </w:p>
    <w:p w14:paraId="6F0934FC">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1BC9154">
      <w:pPr>
        <w:spacing w:line="360" w:lineRule="auto"/>
        <w:ind w:firstLine="435"/>
        <w:rPr>
          <w:rFonts w:ascii="宋体" w:hAnsi="宋体" w:eastAsia="宋体" w:cs="宋体"/>
          <w:sz w:val="24"/>
          <w:szCs w:val="24"/>
        </w:rPr>
      </w:pPr>
      <w:bookmarkStart w:id="0" w:name="_Toc4514"/>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1.本采购需求中提出的服务方案仅为参考，如无明确限制，供应商可以进行优化，提供满足采购人实际需要的更优（或者性能实质上不低于的）服务方案，且此方案须经谈判小组评审认可。</w:t>
      </w:r>
    </w:p>
    <w:p w14:paraId="66F414A7">
      <w:pPr>
        <w:spacing w:line="360" w:lineRule="auto"/>
        <w:ind w:firstLine="435"/>
        <w:rPr>
          <w:rFonts w:ascii="宋体" w:hAnsi="宋体" w:eastAsia="宋体"/>
          <w:sz w:val="24"/>
          <w:szCs w:val="18"/>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285D92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34106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282DAD0">
      <w:pPr>
        <w:spacing w:line="360" w:lineRule="auto"/>
        <w:ind w:firstLine="435"/>
        <w:rPr>
          <w:rFonts w:ascii="宋体" w:hAnsi="宋体" w:eastAsia="宋体"/>
          <w:sz w:val="24"/>
          <w:szCs w:val="18"/>
        </w:rPr>
      </w:pPr>
      <w:r>
        <w:rPr>
          <w:rFonts w:hint="eastAsia" w:ascii="宋体" w:hAnsi="宋体" w:eastAsia="宋体"/>
          <w:sz w:val="24"/>
          <w:szCs w:val="18"/>
        </w:rPr>
        <w:t>3.如采购人允许采用分包方式履行合同的，应当明确可以分包履行的相关内容。</w:t>
      </w:r>
    </w:p>
    <w:p w14:paraId="2D6C6B72">
      <w:pPr>
        <w:spacing w:line="360" w:lineRule="auto"/>
        <w:ind w:firstLine="437"/>
        <w:outlineLvl w:val="1"/>
        <w:rPr>
          <w:rFonts w:ascii="宋体" w:hAnsi="宋体" w:eastAsia="宋体"/>
          <w:b/>
          <w:sz w:val="24"/>
          <w:szCs w:val="18"/>
        </w:rPr>
      </w:pPr>
      <w:bookmarkStart w:id="1" w:name="_Toc24918"/>
      <w:bookmarkStart w:id="2" w:name="_Toc24499"/>
      <w:r>
        <w:rPr>
          <w:rFonts w:hint="eastAsia" w:ascii="宋体" w:hAnsi="宋体" w:eastAsia="宋体"/>
          <w:b/>
          <w:sz w:val="24"/>
          <w:szCs w:val="18"/>
        </w:rPr>
        <w:t>一、采购需求前附表</w:t>
      </w:r>
      <w:bookmarkEnd w:id="0"/>
      <w:bookmarkEnd w:id="1"/>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87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8E07FAF">
            <w:pPr>
              <w:pStyle w:val="1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0EBCADC2">
            <w:pPr>
              <w:pStyle w:val="2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6664A700">
            <w:pPr>
              <w:pStyle w:val="2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6B59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C975614">
            <w:pPr>
              <w:pStyle w:val="1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2ACB0085">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465B1CA9">
            <w:pPr>
              <w:pStyle w:val="20"/>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每半年支付总合同价款的50%</w:t>
            </w:r>
          </w:p>
        </w:tc>
      </w:tr>
      <w:tr w14:paraId="3FC1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6B33B6">
            <w:pPr>
              <w:pStyle w:val="1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76531AE">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1A1EBE77">
            <w:pPr>
              <w:pStyle w:val="2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安庆市第六人民医院指定地点</w:t>
            </w:r>
          </w:p>
        </w:tc>
      </w:tr>
      <w:tr w14:paraId="7404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B43E3A">
            <w:pPr>
              <w:pStyle w:val="1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59BD3737">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19915247">
            <w:pPr>
              <w:pStyle w:val="2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合同签订后1年，经考核合格后，可续签2次。</w:t>
            </w:r>
          </w:p>
        </w:tc>
      </w:tr>
    </w:tbl>
    <w:p w14:paraId="18C90F56">
      <w:pPr>
        <w:spacing w:line="360" w:lineRule="auto"/>
        <w:ind w:firstLine="482" w:firstLineChars="200"/>
        <w:outlineLvl w:val="1"/>
        <w:rPr>
          <w:rFonts w:ascii="宋体" w:hAnsi="宋体" w:eastAsia="宋体" w:cs="宋体"/>
          <w:b/>
          <w:sz w:val="24"/>
          <w:szCs w:val="24"/>
        </w:rPr>
      </w:pPr>
      <w:bookmarkStart w:id="3" w:name="_Toc12926"/>
      <w:bookmarkStart w:id="4" w:name="_Toc14453"/>
      <w:bookmarkStart w:id="5" w:name="_Toc9389"/>
      <w:r>
        <w:rPr>
          <w:rFonts w:hint="eastAsia" w:ascii="宋体" w:hAnsi="宋体" w:eastAsia="宋体" w:cs="宋体"/>
          <w:b/>
          <w:sz w:val="24"/>
          <w:szCs w:val="24"/>
        </w:rPr>
        <w:t>二、项目概况</w:t>
      </w:r>
      <w:bookmarkEnd w:id="3"/>
      <w:bookmarkEnd w:id="4"/>
      <w:bookmarkEnd w:id="5"/>
    </w:p>
    <w:p w14:paraId="7E0E7C9C">
      <w:pPr>
        <w:spacing w:line="400" w:lineRule="exact"/>
        <w:ind w:firstLine="420"/>
        <w:rPr>
          <w:rFonts w:ascii="宋体" w:hAnsi="宋体" w:eastAsia="宋体" w:cs="宋体"/>
          <w:sz w:val="24"/>
          <w:szCs w:val="24"/>
        </w:rPr>
      </w:pPr>
      <w:r>
        <w:rPr>
          <w:rFonts w:hint="eastAsia" w:ascii="宋体" w:hAnsi="宋体" w:eastAsia="宋体" w:cs="宋体"/>
          <w:sz w:val="24"/>
          <w:szCs w:val="24"/>
        </w:rPr>
        <w:t>负责维保的打印机包括但不限于安庆市第六人民医院院区内所有激光、喷墨、热敏、针式打印机（详情见附件一，其中数量和型号仅</w:t>
      </w:r>
      <w:r>
        <w:rPr>
          <w:rFonts w:hint="eastAsia" w:ascii="宋体" w:hAnsi="宋体" w:eastAsia="宋体" w:cs="宋体"/>
          <w:sz w:val="24"/>
          <w:szCs w:val="24"/>
          <w:lang w:eastAsia="zh-CN"/>
        </w:rPr>
        <w:t>作</w:t>
      </w:r>
      <w:r>
        <w:rPr>
          <w:rFonts w:hint="eastAsia" w:ascii="宋体" w:hAnsi="宋体" w:eastAsia="宋体" w:cs="宋体"/>
          <w:sz w:val="24"/>
          <w:szCs w:val="24"/>
        </w:rPr>
        <w:t>参考，实际情况以设备普查后数据为准），以及在合同有效期内新增加的打印机设备。</w:t>
      </w:r>
    </w:p>
    <w:p w14:paraId="076A86B6">
      <w:pPr>
        <w:adjustRightInd w:val="0"/>
        <w:snapToGrid w:val="0"/>
        <w:spacing w:line="440" w:lineRule="exact"/>
        <w:ind w:firstLine="420"/>
        <w:jc w:val="left"/>
        <w:outlineLvl w:val="0"/>
        <w:rPr>
          <w:rFonts w:ascii="宋体" w:hAnsi="宋体" w:eastAsia="宋体" w:cs="宋体"/>
          <w:b/>
          <w:bCs/>
          <w:sz w:val="24"/>
          <w:szCs w:val="24"/>
        </w:rPr>
      </w:pPr>
      <w:r>
        <w:rPr>
          <w:rFonts w:hint="eastAsia" w:ascii="宋体" w:hAnsi="宋体" w:eastAsia="宋体" w:cs="宋体"/>
          <w:b/>
          <w:bCs/>
          <w:sz w:val="24"/>
          <w:szCs w:val="24"/>
        </w:rPr>
        <w:t>三、项目需求</w:t>
      </w:r>
    </w:p>
    <w:p w14:paraId="5AC28D88">
      <w:pPr>
        <w:numPr>
          <w:ilvl w:val="0"/>
          <w:numId w:val="1"/>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打印设备维修与耗材全包</w:t>
      </w:r>
    </w:p>
    <w:p w14:paraId="07AE1C0F">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全院激光打印机、针式打印机、喷墨打印机、条码打印机、热敏打印机、打印复印一体机、大型设备配套打印机等各类打印设备。对上述打印设备提供日常运维管理、耗材与配件供应、定期巡检、故障修复、信息安全检查等专业化维保服务，满足采购方日常业务对打印设备与耗材的需求。</w:t>
      </w:r>
    </w:p>
    <w:p w14:paraId="25398C26">
      <w:pPr>
        <w:numPr>
          <w:ilvl w:val="0"/>
          <w:numId w:val="1"/>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 xml:space="preserve">打印设备免费置换服务 </w:t>
      </w:r>
    </w:p>
    <w:p w14:paraId="0BA3992C">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全院范围内所有A4黑白激光、热敏、针式打印设备故障无法修复或经维修多次仍不能正常稳定使用的</w:t>
      </w:r>
      <w:r>
        <w:rPr>
          <w:rFonts w:hint="eastAsia" w:ascii="宋体" w:hAnsi="宋体" w:eastAsia="宋体" w:cs="宋体"/>
          <w:sz w:val="24"/>
          <w:szCs w:val="24"/>
          <w:lang w:eastAsia="zh-CN"/>
        </w:rPr>
        <w:t>（</w:t>
      </w:r>
      <w:r>
        <w:rPr>
          <w:rFonts w:hint="eastAsia" w:ascii="宋体" w:hAnsi="宋体" w:eastAsia="宋体" w:cs="宋体"/>
          <w:sz w:val="24"/>
          <w:szCs w:val="24"/>
        </w:rPr>
        <w:t>30天内超过3次</w:t>
      </w:r>
      <w:r>
        <w:rPr>
          <w:rFonts w:hint="eastAsia" w:ascii="宋体" w:hAnsi="宋体" w:eastAsia="宋体" w:cs="宋体"/>
          <w:sz w:val="24"/>
          <w:szCs w:val="24"/>
          <w:lang w:eastAsia="zh-CN"/>
        </w:rPr>
        <w:t>）</w:t>
      </w:r>
      <w:r>
        <w:rPr>
          <w:rFonts w:hint="eastAsia" w:ascii="宋体" w:hAnsi="宋体" w:eastAsia="宋体" w:cs="宋体"/>
          <w:sz w:val="24"/>
          <w:szCs w:val="24"/>
        </w:rPr>
        <w:t>或设备出厂年限达6年及以上维修成本达同型号现价60%经采购方主管科室同意，运维服务方须免费进行置换。每个服务周期内可最高免费置换10台全新同型号或者性能更优的设备，如第一个服务周期内未完全置换，则剩余数量可以累计至下一个服务周期内。合同期满后，在服务期内置换的设备归采购方所有。</w:t>
      </w:r>
    </w:p>
    <w:p w14:paraId="6505F0EF">
      <w:pPr>
        <w:adjustRightInd w:val="0"/>
        <w:snapToGrid w:val="0"/>
        <w:spacing w:line="440" w:lineRule="exact"/>
        <w:ind w:firstLine="420"/>
        <w:jc w:val="left"/>
        <w:outlineLvl w:val="0"/>
        <w:rPr>
          <w:rFonts w:ascii="宋体" w:hAnsi="宋体" w:eastAsia="宋体" w:cs="宋体"/>
          <w:b/>
          <w:bCs/>
          <w:sz w:val="24"/>
          <w:szCs w:val="24"/>
        </w:rPr>
      </w:pPr>
      <w:r>
        <w:rPr>
          <w:rFonts w:hint="eastAsia" w:ascii="宋体" w:hAnsi="宋体" w:eastAsia="宋体" w:cs="宋体"/>
          <w:b/>
          <w:bCs/>
          <w:sz w:val="24"/>
          <w:szCs w:val="24"/>
        </w:rPr>
        <w:t>四、服务要求</w:t>
      </w:r>
    </w:p>
    <w:p w14:paraId="5AA09327">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设备普查</w:t>
      </w:r>
    </w:p>
    <w:p w14:paraId="2FC28E2C">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合同签订后10日历日内，由运维服务方对采购方打印设备进行统计梳理，充分了解采购方各类打印设备耗材类型，制作设备标签（标签内容：科室名称、设备型号、编号、服务单位名称及联系方式），准备打印设备清单提交给采购方主管科室核实。服务期内采购方打印设备变动情况，由运维服务方清点，运维服务方应建立打印机及耗材管理台账，每月向采购方提供报告（包括设备清单，各类问题处理，维修保养记录及改善建议等）。新增设备进入维保范围，不另外计费。</w:t>
      </w:r>
    </w:p>
    <w:p w14:paraId="225B2099">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人员配置</w:t>
      </w:r>
    </w:p>
    <w:p w14:paraId="2632C79B">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项目负责人：负责项目统筹工作，建立和维护系统档案、了解系统维护需求、制定巡检计划、监督服务执行、跟踪并改进服务质量、提交各类服务报告、处理投诉、服务总结等工作。</w:t>
      </w:r>
    </w:p>
    <w:p w14:paraId="1B86E185">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专职工程师：负责运维具体工作，为保证打印设备稳定及安全管理；专职工程师能够独立解决故障，提供现场服务，负责日常问题现场处理，按照采购方要求开展运维管理工作。</w:t>
      </w:r>
    </w:p>
    <w:p w14:paraId="420ADE7F">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运维服务方除具备打印设备维护能力外，还要求具有较强的IT技术实力和综合服务能力。服从临时性工作安排，在关键时间（系统割接、重要会议及活动保障、公共节假日、搬迁、系统升级等）专职工程师需提供“随叫随到”保障服务。对于技术水平低、服务态度差、责任心不强的驻场服务人员，在采购方提出更换要求下，需立即予以无条件更换。</w:t>
      </w:r>
    </w:p>
    <w:p w14:paraId="2B3BF003">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耗材质量</w:t>
      </w:r>
    </w:p>
    <w:p w14:paraId="102170BC">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运维服务方应提供满足采购方工作所需打印（复印）耗材及负责耗材配送与安装服务，打印耗材包括但不限于硒鼓、墨盒、墨水、碳带、色带、零配件等，在使用备件库后及时补充库存。相关文印耗材必须严格遵循采购方原使用品牌、型号，使用原装或优质品牌耗材，不得使用假冒伪劣产品；所提供的更换耗材应满足设备所属科室的工作需要，保证打印质量；要求原厂或认证替代品，质保期不低于3年。若因耗材质量问题导致打印机损坏的须承担维修及更换责任。</w:t>
      </w:r>
    </w:p>
    <w:p w14:paraId="2F92CE4C">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备品备件</w:t>
      </w:r>
    </w:p>
    <w:p w14:paraId="01487CD6">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服务期内，运维服务方应设置备品备件库，为保障备品备件的供应及时不间断，不耽误采购方正常打印业务，备品备件库所在地点设在采购方指定地点。运维服务方应提供快速备件响应服务，当采购方设备出现故障现场无法修理时，运维服务方应及时更换备品备件保障采购方</w:t>
      </w:r>
      <w:r>
        <w:rPr>
          <w:rFonts w:hint="eastAsia" w:ascii="宋体" w:hAnsi="宋体" w:eastAsia="宋体" w:cs="宋体"/>
          <w:sz w:val="24"/>
          <w:szCs w:val="24"/>
          <w:lang w:eastAsia="zh-CN"/>
        </w:rPr>
        <w:t>正常</w:t>
      </w:r>
      <w:r>
        <w:rPr>
          <w:rFonts w:hint="eastAsia" w:ascii="宋体" w:hAnsi="宋体" w:eastAsia="宋体" w:cs="宋体"/>
          <w:sz w:val="24"/>
          <w:szCs w:val="24"/>
        </w:rPr>
        <w:t>工作（先换再修）。运维服务方在合同签订后10个工作日内提供备品备件库清单，经采购方确认后，于5个工作日内配齐，在服务期内根据采购方工作情况和要求，适时调整清单目录。备品备件库清单中内容（详见附件二），在服务合同结</w:t>
      </w:r>
      <w:r>
        <w:rPr>
          <w:rFonts w:hint="eastAsia" w:ascii="宋体" w:hAnsi="宋体" w:eastAsia="宋体" w:cs="宋体"/>
          <w:sz w:val="24"/>
          <w:szCs w:val="24"/>
          <w:lang w:eastAsia="zh-CN"/>
        </w:rPr>
        <w:t>束后</w:t>
      </w:r>
      <w:r>
        <w:rPr>
          <w:rFonts w:hint="eastAsia" w:ascii="宋体" w:hAnsi="宋体" w:eastAsia="宋体" w:cs="宋体"/>
          <w:sz w:val="24"/>
          <w:szCs w:val="24"/>
        </w:rPr>
        <w:t>，剩余备品备件产权归运维服务方所有。</w:t>
      </w:r>
    </w:p>
    <w:p w14:paraId="2A615BBC">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响应要求</w:t>
      </w:r>
    </w:p>
    <w:p w14:paraId="625EFC52">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运维服务方负责处理采购方有关打印设备的咨询和报修业务，提供不间断服务响应，及时响应并提供服务，并保证所有打印设备能99%正常运行；对所有打印、复印设备提供维护保养、耗材配送、设备安装、故障修复等服务以及日常配件更换和定期保养清洁等服务，确保文印服务的平稳运行。当打印设备出现故障时要及时处理，维护人员需要有熟练的现场故障处理能力。</w:t>
      </w:r>
      <w:r>
        <w:rPr>
          <w:rFonts w:hint="eastAsia" w:ascii="宋体" w:hAnsi="宋体" w:eastAsia="宋体" w:cs="宋体"/>
          <w:sz w:val="24"/>
          <w:szCs w:val="24"/>
          <w:lang w:eastAsia="zh-CN"/>
        </w:rPr>
        <w:t>接到</w:t>
      </w:r>
      <w:r>
        <w:rPr>
          <w:rFonts w:hint="eastAsia" w:ascii="宋体" w:hAnsi="宋体" w:eastAsia="宋体" w:cs="宋体"/>
          <w:sz w:val="24"/>
          <w:szCs w:val="24"/>
        </w:rPr>
        <w:t>报修后5分钟内响应（紧急报修需半小时内到场）。2小时内完成修复（非正常工作时间24小时内完成修复），如不能现场处理的故障应及时更换备用设备替换，并保证原设备在一周内修复。每次维修完成后，要有维修记录，维修记录要</w:t>
      </w:r>
      <w:r>
        <w:rPr>
          <w:rFonts w:hint="eastAsia" w:ascii="宋体" w:hAnsi="宋体" w:eastAsia="宋体" w:cs="宋体"/>
          <w:sz w:val="24"/>
          <w:szCs w:val="24"/>
          <w:lang w:eastAsia="zh-CN"/>
        </w:rPr>
        <w:t>由</w:t>
      </w:r>
      <w:r>
        <w:rPr>
          <w:rFonts w:hint="eastAsia" w:ascii="宋体" w:hAnsi="宋体" w:eastAsia="宋体" w:cs="宋体"/>
          <w:sz w:val="24"/>
          <w:szCs w:val="24"/>
        </w:rPr>
        <w:t>使用科室人员签字确认，维修记录按季度汇总，提交采购方主管科室备查。</w:t>
      </w:r>
    </w:p>
    <w:p w14:paraId="281DF370">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定期巡检</w:t>
      </w:r>
    </w:p>
    <w:p w14:paraId="3B7772E4">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每周重点部位巡查：运维服务方对采购方指定的关键设备进行每周2次巡查，巡查内容包括设备耗材状态、运行状态、耗材余量等，发现问题立即处理。</w:t>
      </w:r>
    </w:p>
    <w:p w14:paraId="475412AD">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月度、季度巡检：每个月15日前开展一次巡检服务，巡检中发现的故障隐患应及时告知采购方，提出建议，并对设备进行清洁处理，每季度随《打印机服务记录表》一并提交报告，报告内容需要得到采购方主管科室审核确认。</w:t>
      </w:r>
    </w:p>
    <w:p w14:paraId="31AA18B6">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半年、整年度总结：在每半年、整年度进行工作总结，由运维服务方的项目负责人提交半年度、整年度总结报告，对运维工作提出意见建议。</w:t>
      </w:r>
    </w:p>
    <w:p w14:paraId="47F14A99">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资料管理</w:t>
      </w:r>
    </w:p>
    <w:p w14:paraId="5E9222A6">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运维服务方完成维保服务后，应将完整的与所提供服务有关的技术资料，包括但不限于：设备巡检报告、设备维修记录、设备变更、新增记录等，由使用部门签字后装订成册交</w:t>
      </w:r>
      <w:r>
        <w:rPr>
          <w:rFonts w:hint="eastAsia" w:ascii="宋体" w:hAnsi="宋体" w:eastAsia="宋体" w:cs="宋体"/>
          <w:sz w:val="24"/>
          <w:szCs w:val="24"/>
          <w:lang w:eastAsia="zh-CN"/>
        </w:rPr>
        <w:t>采</w:t>
      </w:r>
      <w:r>
        <w:rPr>
          <w:rFonts w:hint="eastAsia" w:ascii="宋体" w:hAnsi="宋体" w:eastAsia="宋体" w:cs="宋体"/>
          <w:sz w:val="24"/>
          <w:szCs w:val="24"/>
        </w:rPr>
        <w:t>购方备案。</w:t>
      </w:r>
    </w:p>
    <w:p w14:paraId="44C89972">
      <w:pPr>
        <w:numPr>
          <w:ilvl w:val="0"/>
          <w:numId w:val="2"/>
        </w:numPr>
        <w:adjustRightInd w:val="0"/>
        <w:snapToGrid w:val="0"/>
        <w:spacing w:line="440" w:lineRule="exact"/>
        <w:jc w:val="left"/>
        <w:outlineLvl w:val="2"/>
        <w:rPr>
          <w:rFonts w:ascii="宋体" w:hAnsi="宋体" w:eastAsia="宋体" w:cs="宋体"/>
          <w:sz w:val="24"/>
          <w:szCs w:val="24"/>
        </w:rPr>
      </w:pPr>
      <w:r>
        <w:rPr>
          <w:rFonts w:hint="eastAsia" w:ascii="宋体" w:hAnsi="宋体" w:eastAsia="宋体" w:cs="宋体"/>
          <w:sz w:val="24"/>
          <w:szCs w:val="24"/>
        </w:rPr>
        <w:t>打印机信息安全服务</w:t>
      </w:r>
    </w:p>
    <w:p w14:paraId="06C1D4D0">
      <w:pPr>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全面收集打印设备信息，进行安全配置检查，进行漏洞扫描和检测，形成数据安全风险评估报告。制定打印设备信息安全相关管理制度和操作规范。同时对采购方进行相关安全培训和宣传。</w:t>
      </w:r>
    </w:p>
    <w:p w14:paraId="3687425A">
      <w:pPr>
        <w:adjustRightInd w:val="0"/>
        <w:snapToGrid w:val="0"/>
        <w:spacing w:line="440" w:lineRule="exact"/>
        <w:ind w:firstLine="420"/>
        <w:jc w:val="left"/>
        <w:outlineLvl w:val="0"/>
        <w:rPr>
          <w:rFonts w:ascii="宋体" w:hAnsi="宋体" w:eastAsia="宋体" w:cs="宋体"/>
          <w:b/>
          <w:bCs/>
          <w:sz w:val="24"/>
          <w:szCs w:val="24"/>
        </w:rPr>
      </w:pPr>
      <w:r>
        <w:rPr>
          <w:rFonts w:hint="eastAsia" w:ascii="宋体" w:hAnsi="宋体" w:eastAsia="宋体" w:cs="宋体"/>
          <w:b/>
          <w:bCs/>
          <w:sz w:val="24"/>
          <w:szCs w:val="24"/>
        </w:rPr>
        <w:t>五、服务考核制度</w:t>
      </w:r>
    </w:p>
    <w:p w14:paraId="768A18EA">
      <w:pPr>
        <w:numPr>
          <w:ilvl w:val="0"/>
          <w:numId w:val="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运维服务质量考核</w:t>
      </w:r>
    </w:p>
    <w:p w14:paraId="61DB5039">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采购方将每季度对运维服务质量进行考核，满分为100分，在运维周期结束后，用户对运维服务质量进行最终考核。具体考核项目如下：</w:t>
      </w:r>
    </w:p>
    <w:p w14:paraId="6B4C86AC">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日常考核项目（100分）</w:t>
      </w:r>
    </w:p>
    <w:p w14:paraId="3E99BCF4">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备品备件考核：运维单位须确保承诺提供的备品备件的真实、完整、可用。</w:t>
      </w:r>
    </w:p>
    <w:p w14:paraId="0D0551CA">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故障处置考核：运维响应时间和硬件、耗材维保质量。</w:t>
      </w:r>
    </w:p>
    <w:p w14:paraId="6C563A02">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日常巡检考核：要求运维服务方对运维范围内设备进行定期巡检，并提交巡检报告。</w:t>
      </w:r>
    </w:p>
    <w:p w14:paraId="1EF1969B">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服务人员考核：根据服务人员在工作中的责任心、工作态度、工作作风、工作能力等酌情打分。</w:t>
      </w:r>
    </w:p>
    <w:p w14:paraId="6E26D27A">
      <w:pPr>
        <w:numPr>
          <w:ilvl w:val="0"/>
          <w:numId w:val="3"/>
        </w:num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运维服务考核结果运用</w:t>
      </w:r>
    </w:p>
    <w:p w14:paraId="4292DB52">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（1）每季度不定期对运维服务质量进行考核，考核项目及结果参照服务质量考核要求，若发现日常运维存在问题采购方将告知运维服务方进行整改，</w:t>
      </w:r>
      <w:r>
        <w:rPr>
          <w:rFonts w:hint="eastAsia" w:ascii="宋体" w:hAnsi="宋体" w:eastAsia="宋体" w:cs="宋体"/>
          <w:sz w:val="24"/>
          <w:szCs w:val="24"/>
          <w:lang w:eastAsia="zh-CN"/>
        </w:rPr>
        <w:t>并提</w:t>
      </w:r>
      <w:r>
        <w:rPr>
          <w:rFonts w:hint="eastAsia" w:ascii="宋体" w:hAnsi="宋体" w:eastAsia="宋体" w:cs="宋体"/>
          <w:sz w:val="24"/>
          <w:szCs w:val="24"/>
        </w:rPr>
        <w:t>出相应的整改方案。</w:t>
      </w:r>
    </w:p>
    <w:p w14:paraId="589C58DC">
      <w:pPr>
        <w:adjustRightInd w:val="0"/>
        <w:snapToGrid w:val="0"/>
        <w:spacing w:line="440" w:lineRule="exact"/>
        <w:ind w:firstLine="435"/>
        <w:rPr>
          <w:rFonts w:ascii="宋体" w:hAnsi="宋体" w:eastAsia="宋体" w:cs="宋体"/>
          <w:sz w:val="24"/>
          <w:szCs w:val="24"/>
        </w:rPr>
      </w:pPr>
      <w:r>
        <w:rPr>
          <w:rFonts w:hint="eastAsia" w:ascii="宋体" w:hAnsi="宋体" w:eastAsia="宋体" w:cs="宋体"/>
          <w:sz w:val="24"/>
          <w:szCs w:val="24"/>
        </w:rPr>
        <w:t>（2）每半年运维周期考核不合格的（未达到80分），采购方按合同文件相关规定要求运维单位限期整改，整改不符合采购方要求的，采购方有权终止合同。</w:t>
      </w:r>
    </w:p>
    <w:tbl>
      <w:tblPr>
        <w:tblStyle w:val="9"/>
        <w:tblW w:w="5000" w:type="pct"/>
        <w:tblInd w:w="0" w:type="dxa"/>
        <w:tblLayout w:type="autofit"/>
        <w:tblCellMar>
          <w:top w:w="0" w:type="dxa"/>
          <w:left w:w="108" w:type="dxa"/>
          <w:bottom w:w="0" w:type="dxa"/>
          <w:right w:w="108" w:type="dxa"/>
        </w:tblCellMar>
      </w:tblPr>
      <w:tblGrid>
        <w:gridCol w:w="1421"/>
        <w:gridCol w:w="2238"/>
        <w:gridCol w:w="2659"/>
        <w:gridCol w:w="1357"/>
        <w:gridCol w:w="847"/>
      </w:tblGrid>
      <w:tr w14:paraId="43DA6220">
        <w:tblPrEx>
          <w:tblCellMar>
            <w:top w:w="0" w:type="dxa"/>
            <w:left w:w="108" w:type="dxa"/>
            <w:bottom w:w="0" w:type="dxa"/>
            <w:right w:w="108" w:type="dxa"/>
          </w:tblCellMar>
        </w:tblPrEx>
        <w:trPr>
          <w:trHeight w:val="506" w:hRule="atLeast"/>
        </w:trPr>
        <w:tc>
          <w:tcPr>
            <w:tcW w:w="5000" w:type="pct"/>
            <w:gridSpan w:val="5"/>
            <w:tcBorders>
              <w:top w:val="nil"/>
              <w:left w:val="nil"/>
              <w:bottom w:val="nil"/>
              <w:right w:val="nil"/>
            </w:tcBorders>
            <w:shd w:val="clear" w:color="auto" w:fill="auto"/>
            <w:noWrap/>
            <w:vAlign w:val="center"/>
          </w:tcPr>
          <w:p w14:paraId="179ECB6F">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打印机运维项目考核表</w:t>
            </w:r>
          </w:p>
        </w:tc>
      </w:tr>
      <w:tr w14:paraId="666BD121">
        <w:tblPrEx>
          <w:tblCellMar>
            <w:top w:w="0" w:type="dxa"/>
            <w:left w:w="108" w:type="dxa"/>
            <w:bottom w:w="0" w:type="dxa"/>
            <w:right w:w="108" w:type="dxa"/>
          </w:tblCellMar>
        </w:tblPrEx>
        <w:trPr>
          <w:trHeight w:val="847"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B3DE">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考核项目</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A992">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考核指标</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0DFB">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评分标准（满分100分）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A46C">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数据来源</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70A0">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得分</w:t>
            </w:r>
          </w:p>
        </w:tc>
      </w:tr>
      <w:tr w14:paraId="3E01197A">
        <w:tblPrEx>
          <w:tblCellMar>
            <w:top w:w="0" w:type="dxa"/>
            <w:left w:w="108" w:type="dxa"/>
            <w:bottom w:w="0" w:type="dxa"/>
            <w:right w:w="108" w:type="dxa"/>
          </w:tblCellMar>
        </w:tblPrEx>
        <w:trPr>
          <w:trHeight w:val="943"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5AAC">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1.故障响应时效</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E570">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故障响应时间（从报修到响应）</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FE9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≤30分钟：20分；30</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60分钟：10分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60分钟：5分；未响应：0分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0D59">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工单系统记录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4D82">
            <w:pPr>
              <w:adjustRightInd w:val="0"/>
              <w:snapToGrid w:val="0"/>
              <w:spacing w:line="440" w:lineRule="exact"/>
              <w:jc w:val="center"/>
              <w:rPr>
                <w:rFonts w:ascii="宋体" w:hAnsi="宋体" w:eastAsia="宋体" w:cs="宋体"/>
                <w:color w:val="000000"/>
                <w:sz w:val="24"/>
                <w:szCs w:val="24"/>
              </w:rPr>
            </w:pPr>
          </w:p>
        </w:tc>
      </w:tr>
      <w:tr w14:paraId="36665122">
        <w:tblPrEx>
          <w:tblCellMar>
            <w:top w:w="0" w:type="dxa"/>
            <w:left w:w="108" w:type="dxa"/>
            <w:bottom w:w="0" w:type="dxa"/>
            <w:right w:w="108" w:type="dxa"/>
          </w:tblCellMar>
        </w:tblPrEx>
        <w:trPr>
          <w:trHeight w:val="927"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CEB3">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2.故障修复率</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0197">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故障修复成功率（修复数/总报修数）</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AE2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≥90%：15分；</w:t>
            </w:r>
            <w:r>
              <w:rPr>
                <w:rFonts w:hint="eastAsia" w:ascii="宋体" w:hAnsi="宋体" w:eastAsia="宋体" w:cs="宋体"/>
                <w:color w:val="000000"/>
                <w:kern w:val="0"/>
                <w:sz w:val="24"/>
                <w:szCs w:val="24"/>
                <w:lang w:eastAsia="zh-CN" w:bidi="ar"/>
              </w:rPr>
              <w:t>80%—90%</w:t>
            </w:r>
            <w:r>
              <w:rPr>
                <w:rFonts w:hint="eastAsia" w:ascii="宋体" w:hAnsi="宋体" w:eastAsia="宋体" w:cs="宋体"/>
                <w:color w:val="000000"/>
                <w:kern w:val="0"/>
                <w:sz w:val="24"/>
                <w:szCs w:val="24"/>
                <w:lang w:bidi="ar"/>
              </w:rPr>
              <w:t>：10分；&lt;80%：5分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CECF">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工单系统、客户反馈</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BF0D">
            <w:pPr>
              <w:adjustRightInd w:val="0"/>
              <w:snapToGrid w:val="0"/>
              <w:spacing w:line="440" w:lineRule="exact"/>
              <w:jc w:val="center"/>
              <w:rPr>
                <w:rFonts w:ascii="宋体" w:hAnsi="宋体" w:eastAsia="宋体" w:cs="宋体"/>
                <w:color w:val="000000"/>
                <w:sz w:val="24"/>
                <w:szCs w:val="24"/>
              </w:rPr>
            </w:pPr>
          </w:p>
        </w:tc>
      </w:tr>
      <w:tr w14:paraId="3586A38F">
        <w:tblPrEx>
          <w:tblCellMar>
            <w:top w:w="0" w:type="dxa"/>
            <w:left w:w="108" w:type="dxa"/>
            <w:bottom w:w="0" w:type="dxa"/>
            <w:right w:w="108" w:type="dxa"/>
          </w:tblCellMar>
        </w:tblPrEx>
        <w:trPr>
          <w:trHeight w:val="927"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6EAF">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3.设备巡检完成率</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5183">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定期巡检完成情况</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1C9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100%完成：10分；每遗漏1次扣2分，扣完为止</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0E22">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巡检记录表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782F">
            <w:pPr>
              <w:adjustRightInd w:val="0"/>
              <w:snapToGrid w:val="0"/>
              <w:spacing w:line="440" w:lineRule="exact"/>
              <w:jc w:val="center"/>
              <w:rPr>
                <w:rFonts w:ascii="宋体" w:hAnsi="宋体" w:eastAsia="宋体" w:cs="宋体"/>
                <w:color w:val="000000"/>
                <w:sz w:val="24"/>
                <w:szCs w:val="24"/>
              </w:rPr>
            </w:pPr>
          </w:p>
        </w:tc>
      </w:tr>
      <w:tr w14:paraId="68CFC193">
        <w:tblPrEx>
          <w:tblCellMar>
            <w:top w:w="0" w:type="dxa"/>
            <w:left w:w="108" w:type="dxa"/>
            <w:bottom w:w="0" w:type="dxa"/>
            <w:right w:w="108" w:type="dxa"/>
          </w:tblCellMar>
        </w:tblPrEx>
        <w:trPr>
          <w:trHeight w:val="943"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C044">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4.客户满意度</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B62F">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客户评价平均分（1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5分制）</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A92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平均≥4.</w:t>
            </w:r>
            <w:r>
              <w:rPr>
                <w:rFonts w:hint="eastAsia" w:ascii="宋体" w:hAnsi="宋体" w:eastAsia="宋体" w:cs="宋体"/>
                <w:color w:val="000000"/>
                <w:kern w:val="0"/>
                <w:sz w:val="24"/>
                <w:szCs w:val="24"/>
                <w:lang w:eastAsia="zh-CN" w:bidi="ar"/>
              </w:rPr>
              <w:t>5:15</w:t>
            </w:r>
            <w:r>
              <w:rPr>
                <w:rFonts w:hint="eastAsia" w:ascii="宋体" w:hAnsi="宋体" w:eastAsia="宋体" w:cs="宋体"/>
                <w:color w:val="000000"/>
                <w:kern w:val="0"/>
                <w:sz w:val="24"/>
                <w:szCs w:val="24"/>
                <w:lang w:bidi="ar"/>
              </w:rPr>
              <w:t>；4.0-4.</w:t>
            </w:r>
            <w:r>
              <w:rPr>
                <w:rFonts w:hint="eastAsia" w:ascii="宋体" w:hAnsi="宋体" w:eastAsia="宋体" w:cs="宋体"/>
                <w:color w:val="000000"/>
                <w:kern w:val="0"/>
                <w:sz w:val="24"/>
                <w:szCs w:val="24"/>
                <w:lang w:eastAsia="zh-CN" w:bidi="ar"/>
              </w:rPr>
              <w:t>4:10</w:t>
            </w:r>
            <w:r>
              <w:rPr>
                <w:rFonts w:hint="eastAsia" w:ascii="宋体" w:hAnsi="宋体" w:eastAsia="宋体" w:cs="宋体"/>
                <w:color w:val="000000"/>
                <w:kern w:val="0"/>
                <w:sz w:val="24"/>
                <w:szCs w:val="24"/>
                <w:lang w:bidi="ar"/>
              </w:rPr>
              <w:t>；3.5-3.</w:t>
            </w:r>
            <w:r>
              <w:rPr>
                <w:rFonts w:hint="eastAsia" w:ascii="宋体" w:hAnsi="宋体" w:eastAsia="宋体" w:cs="宋体"/>
                <w:color w:val="000000"/>
                <w:kern w:val="0"/>
                <w:sz w:val="24"/>
                <w:szCs w:val="24"/>
                <w:lang w:eastAsia="zh-CN" w:bidi="ar"/>
              </w:rPr>
              <w:t>9:5</w:t>
            </w:r>
            <w:r>
              <w:rPr>
                <w:rFonts w:hint="eastAsia" w:ascii="宋体" w:hAnsi="宋体" w:eastAsia="宋体" w:cs="宋体"/>
                <w:color w:val="000000"/>
                <w:kern w:val="0"/>
                <w:sz w:val="24"/>
                <w:szCs w:val="24"/>
                <w:lang w:bidi="ar"/>
              </w:rPr>
              <w:t>；&lt;3.</w:t>
            </w:r>
            <w:r>
              <w:rPr>
                <w:rFonts w:hint="eastAsia" w:ascii="宋体" w:hAnsi="宋体" w:eastAsia="宋体" w:cs="宋体"/>
                <w:color w:val="000000"/>
                <w:kern w:val="0"/>
                <w:sz w:val="24"/>
                <w:szCs w:val="24"/>
                <w:lang w:eastAsia="zh-CN" w:bidi="ar"/>
              </w:rPr>
              <w:t>5:0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4E6D">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客户满意度调查</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E3A0">
            <w:pPr>
              <w:adjustRightInd w:val="0"/>
              <w:snapToGrid w:val="0"/>
              <w:spacing w:line="440" w:lineRule="exact"/>
              <w:jc w:val="center"/>
              <w:rPr>
                <w:rFonts w:ascii="宋体" w:hAnsi="宋体" w:eastAsia="宋体" w:cs="宋体"/>
                <w:color w:val="000000"/>
                <w:sz w:val="24"/>
                <w:szCs w:val="24"/>
              </w:rPr>
            </w:pPr>
          </w:p>
        </w:tc>
      </w:tr>
      <w:tr w14:paraId="03C4024D">
        <w:tblPrEx>
          <w:tblCellMar>
            <w:top w:w="0" w:type="dxa"/>
            <w:left w:w="108" w:type="dxa"/>
            <w:bottom w:w="0" w:type="dxa"/>
            <w:right w:w="108" w:type="dxa"/>
          </w:tblCellMar>
        </w:tblPrEx>
        <w:trPr>
          <w:trHeight w:val="943"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40DA">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5.服务规范性</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EA63">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是否按标准流程操作</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D4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完全合规：10分；每发现1次违规扣3分（如未填写工单、未测试修复结果）</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8845">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抽查记录、工单完整性</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D5CB">
            <w:pPr>
              <w:adjustRightInd w:val="0"/>
              <w:snapToGrid w:val="0"/>
              <w:spacing w:line="440" w:lineRule="exact"/>
              <w:jc w:val="center"/>
              <w:rPr>
                <w:rFonts w:ascii="宋体" w:hAnsi="宋体" w:eastAsia="宋体" w:cs="宋体"/>
                <w:color w:val="000000"/>
                <w:sz w:val="24"/>
                <w:szCs w:val="24"/>
              </w:rPr>
            </w:pPr>
          </w:p>
        </w:tc>
      </w:tr>
      <w:tr w14:paraId="0B78D5E7">
        <w:tblPrEx>
          <w:tblCellMar>
            <w:top w:w="0" w:type="dxa"/>
            <w:left w:w="108" w:type="dxa"/>
            <w:bottom w:w="0" w:type="dxa"/>
            <w:right w:w="108" w:type="dxa"/>
          </w:tblCellMar>
        </w:tblPrEx>
        <w:trPr>
          <w:trHeight w:val="943"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E7C0">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6.投诉次数</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5C64">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客户投诉次数</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6B6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0次：10分；每1次投诉扣2分（投诉成立则额外扣3分）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4EF8">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投诉记录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56EA">
            <w:pPr>
              <w:adjustRightInd w:val="0"/>
              <w:snapToGrid w:val="0"/>
              <w:spacing w:line="440" w:lineRule="exact"/>
              <w:jc w:val="center"/>
              <w:rPr>
                <w:rFonts w:ascii="宋体" w:hAnsi="宋体" w:eastAsia="宋体" w:cs="宋体"/>
                <w:color w:val="000000"/>
                <w:sz w:val="24"/>
                <w:szCs w:val="24"/>
              </w:rPr>
            </w:pPr>
          </w:p>
        </w:tc>
      </w:tr>
      <w:tr w14:paraId="5E3F1102">
        <w:tblPrEx>
          <w:tblCellMar>
            <w:top w:w="0" w:type="dxa"/>
            <w:left w:w="108" w:type="dxa"/>
            <w:bottom w:w="0" w:type="dxa"/>
            <w:right w:w="108" w:type="dxa"/>
          </w:tblCellMar>
        </w:tblPrEx>
        <w:trPr>
          <w:trHeight w:val="927"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BB52">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7.数据安全</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7AE9">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是否清除打印机缓存/敏感信息</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0C99">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完全清除：10分；未清除导致信息泄露：0分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F1A4">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抽查记录、安全审计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B496">
            <w:pPr>
              <w:adjustRightInd w:val="0"/>
              <w:snapToGrid w:val="0"/>
              <w:spacing w:line="440" w:lineRule="exact"/>
              <w:jc w:val="center"/>
              <w:rPr>
                <w:rFonts w:ascii="宋体" w:hAnsi="宋体" w:eastAsia="宋体" w:cs="宋体"/>
                <w:color w:val="000000"/>
                <w:sz w:val="24"/>
                <w:szCs w:val="24"/>
              </w:rPr>
            </w:pPr>
          </w:p>
        </w:tc>
      </w:tr>
      <w:tr w14:paraId="05C1F1DA">
        <w:tblPrEx>
          <w:tblCellMar>
            <w:top w:w="0" w:type="dxa"/>
            <w:left w:w="108" w:type="dxa"/>
            <w:bottom w:w="0" w:type="dxa"/>
            <w:right w:w="108" w:type="dxa"/>
          </w:tblCellMar>
        </w:tblPrEx>
        <w:trPr>
          <w:trHeight w:val="937" w:hRule="atLeast"/>
        </w:trPr>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9D16">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8.操作安全</w:t>
            </w:r>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4D1B">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是否遵守安全操作规范（如断电操作）</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9D2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完全合规：10分；每发现1次违规扣2分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E382">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现场检查记录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9F6F">
            <w:pPr>
              <w:adjustRightInd w:val="0"/>
              <w:snapToGrid w:val="0"/>
              <w:spacing w:line="440" w:lineRule="exact"/>
              <w:jc w:val="center"/>
              <w:rPr>
                <w:rFonts w:ascii="宋体" w:hAnsi="宋体" w:eastAsia="宋体" w:cs="宋体"/>
                <w:color w:val="000000"/>
                <w:sz w:val="24"/>
                <w:szCs w:val="24"/>
              </w:rPr>
            </w:pPr>
          </w:p>
        </w:tc>
      </w:tr>
    </w:tbl>
    <w:p w14:paraId="419B40FF">
      <w:pPr>
        <w:adjustRightInd w:val="0"/>
        <w:snapToGrid w:val="0"/>
        <w:spacing w:line="440" w:lineRule="exact"/>
        <w:jc w:val="left"/>
        <w:outlineLvl w:val="0"/>
        <w:rPr>
          <w:rFonts w:ascii="宋体" w:hAnsi="宋体" w:eastAsia="宋体" w:cs="宋体"/>
          <w:b/>
          <w:bCs/>
          <w:sz w:val="24"/>
          <w:szCs w:val="24"/>
        </w:rPr>
      </w:pPr>
      <w:r>
        <w:rPr>
          <w:rFonts w:hint="eastAsia" w:ascii="宋体" w:hAnsi="宋体" w:eastAsia="宋体" w:cs="宋体"/>
          <w:b/>
          <w:bCs/>
          <w:sz w:val="24"/>
          <w:szCs w:val="24"/>
        </w:rPr>
        <w:t>附件一：采购方打印设备概况</w:t>
      </w:r>
    </w:p>
    <w:tbl>
      <w:tblPr>
        <w:tblStyle w:val="9"/>
        <w:tblW w:w="8329" w:type="dxa"/>
        <w:tblInd w:w="91" w:type="dxa"/>
        <w:tblLayout w:type="fixed"/>
        <w:tblCellMar>
          <w:top w:w="0" w:type="dxa"/>
          <w:left w:w="108" w:type="dxa"/>
          <w:bottom w:w="0" w:type="dxa"/>
          <w:right w:w="108" w:type="dxa"/>
        </w:tblCellMar>
      </w:tblPr>
      <w:tblGrid>
        <w:gridCol w:w="1585"/>
        <w:gridCol w:w="4840"/>
        <w:gridCol w:w="1904"/>
      </w:tblGrid>
      <w:tr w14:paraId="61AB26EB">
        <w:tblPrEx>
          <w:tblCellMar>
            <w:top w:w="0" w:type="dxa"/>
            <w:left w:w="108" w:type="dxa"/>
            <w:bottom w:w="0" w:type="dxa"/>
            <w:right w:w="108" w:type="dxa"/>
          </w:tblCellMar>
        </w:tblPrEx>
        <w:trPr>
          <w:trHeight w:val="283" w:hRule="atLeast"/>
          <w:tblHeader/>
        </w:trPr>
        <w:tc>
          <w:tcPr>
            <w:tcW w:w="1585"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54C84B67">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4840"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7AF06899">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型号</w:t>
            </w:r>
          </w:p>
        </w:tc>
        <w:tc>
          <w:tcPr>
            <w:tcW w:w="1904" w:type="dxa"/>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center"/>
          </w:tcPr>
          <w:p w14:paraId="5B0F02AD">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数量</w:t>
            </w:r>
          </w:p>
        </w:tc>
      </w:tr>
      <w:tr w14:paraId="2DEA2798">
        <w:tblPrEx>
          <w:tblCellMar>
            <w:top w:w="0" w:type="dxa"/>
            <w:left w:w="108" w:type="dxa"/>
            <w:bottom w:w="0" w:type="dxa"/>
            <w:right w:w="108" w:type="dxa"/>
          </w:tblCellMar>
        </w:tblPrEx>
        <w:trPr>
          <w:trHeight w:val="90"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BA47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936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AR 540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2A3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22DB3CA8">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065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8B0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Brother</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7B7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r>
      <w:tr w14:paraId="54C564D5">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3310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D91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BROTHER MFC-7340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3F6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10AEFFA">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E5BE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A59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BROTHER MFC-7360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C04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3944C1E1">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BE3F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6F9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DPK 300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14B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7B085C8E">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762C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8CF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DS 7830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427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97A9ED1">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27F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149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EPSON L130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DCC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2C222132">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B0A1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F26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1005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4E4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A5CC90C">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984D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CA3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1007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A0F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6C8CEB16">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6EC9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BB6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1020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CF6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97</w:t>
            </w:r>
          </w:p>
        </w:tc>
      </w:tr>
      <w:tr w14:paraId="2A735C5E">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E1B6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3CF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108A</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B7C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5162D0AC">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F0CB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641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1108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37B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w:t>
            </w:r>
          </w:p>
        </w:tc>
      </w:tr>
      <w:tr w14:paraId="4C50E01B">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EC87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A92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2035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D4F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7E268CC">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727F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3F0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213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437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FB12669">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F72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1FD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329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87D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DC63196">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3807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DED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CP 1025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C9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A18F887">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7F76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47D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Laser NS   MFP 1005c</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133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0AF76F0">
        <w:tblPrEx>
          <w:tblCellMar>
            <w:top w:w="0" w:type="dxa"/>
            <w:left w:w="108" w:type="dxa"/>
            <w:bottom w:w="0" w:type="dxa"/>
            <w:right w:w="108" w:type="dxa"/>
          </w:tblCellMar>
        </w:tblPrEx>
        <w:trPr>
          <w:trHeight w:val="304"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4883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A6E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LaserJet Enterprise MFP M431f</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C17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B027E92">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72F8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0EF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LaserJet M1005 MFP</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93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4DC81650">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4D72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607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LaserJet MFP M233dw</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801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10CAD2A">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10D3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3E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LaserJet Pro MFP M427dw</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97A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1B45E52D">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5DF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CC0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M108N</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D0C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0376700">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FCC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E55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MPF 136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68FB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BAB7062">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30B0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610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HP SmartTank 519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22E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4172159">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7F77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745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KONIC MINOLTA bizhub 226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C2B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305912F">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ECBB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BBA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mfc7360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EAB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6B08A26E">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AB9E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0C0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TOSHIBA eSTUDIO 3025AC</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39B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9DCFD39">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7201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735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ZEBRA GK888t</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332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7632BAF8">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FB60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EEF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奔图 CP1100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64F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4EBBD6F">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4EB7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99C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富士通</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4B4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0100A307">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59DF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F74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惠普1000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AC2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40C393F">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A71D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312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美能达185e</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01C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DE7E7C6">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CE9F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33</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C362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HP 3388SDW</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C986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r>
      <w:tr w14:paraId="1712B91D">
        <w:tblPrEx>
          <w:tblCellMar>
            <w:top w:w="0" w:type="dxa"/>
            <w:left w:w="108" w:type="dxa"/>
            <w:bottom w:w="0" w:type="dxa"/>
            <w:right w:w="108" w:type="dxa"/>
          </w:tblCellMar>
        </w:tblPrEx>
        <w:trPr>
          <w:trHeight w:val="285" w:hRule="atLeast"/>
        </w:trPr>
        <w:tc>
          <w:tcPr>
            <w:tcW w:w="1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241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34</w:t>
            </w:r>
          </w:p>
        </w:tc>
        <w:tc>
          <w:tcPr>
            <w:tcW w:w="4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0F91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bidi="ar"/>
              </w:rPr>
              <w:t>合计</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FFD9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bidi="ar"/>
              </w:rPr>
              <w:t>221</w:t>
            </w:r>
          </w:p>
        </w:tc>
      </w:tr>
      <w:tr w14:paraId="3F228C4B">
        <w:tblPrEx>
          <w:tblCellMar>
            <w:top w:w="0" w:type="dxa"/>
            <w:left w:w="108" w:type="dxa"/>
            <w:bottom w:w="0" w:type="dxa"/>
            <w:right w:w="108" w:type="dxa"/>
          </w:tblCellMar>
        </w:tblPrEx>
        <w:trPr>
          <w:trHeight w:val="285" w:hRule="atLeast"/>
        </w:trPr>
        <w:tc>
          <w:tcPr>
            <w:tcW w:w="83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F69044">
            <w:pPr>
              <w:widowControl/>
              <w:jc w:val="left"/>
              <w:textAlignment w:val="center"/>
              <w:rPr>
                <w:rFonts w:ascii="宋体" w:hAnsi="宋体" w:eastAsia="宋体" w:cs="宋体"/>
                <w:b/>
                <w:bCs/>
                <w:color w:val="000000"/>
                <w:kern w:val="0"/>
                <w:sz w:val="24"/>
                <w:szCs w:val="24"/>
                <w:lang w:bidi="ar"/>
              </w:rPr>
            </w:pPr>
            <w:r>
              <w:rPr>
                <w:rFonts w:hint="eastAsia" w:ascii="宋体" w:hAnsi="宋体" w:eastAsia="宋体" w:cs="宋体"/>
                <w:sz w:val="24"/>
                <w:szCs w:val="24"/>
              </w:rPr>
              <w:t>备注：其中数量和型号仅做参考，实际情况以设备普查后数量为准</w:t>
            </w:r>
          </w:p>
        </w:tc>
      </w:tr>
    </w:tbl>
    <w:p w14:paraId="6844EA7A">
      <w:pPr>
        <w:adjustRightInd w:val="0"/>
        <w:snapToGrid w:val="0"/>
        <w:spacing w:line="440" w:lineRule="exact"/>
        <w:jc w:val="left"/>
        <w:outlineLvl w:val="0"/>
        <w:rPr>
          <w:rFonts w:ascii="宋体" w:hAnsi="宋体" w:eastAsia="宋体" w:cs="宋体"/>
          <w:b/>
          <w:bCs/>
          <w:sz w:val="24"/>
          <w:szCs w:val="24"/>
        </w:rPr>
      </w:pPr>
      <w:r>
        <w:rPr>
          <w:rFonts w:hint="eastAsia" w:ascii="宋体" w:hAnsi="宋体" w:eastAsia="宋体" w:cs="宋体"/>
          <w:b/>
          <w:bCs/>
          <w:sz w:val="24"/>
          <w:szCs w:val="24"/>
        </w:rPr>
        <w:t>附件二：备品备件清单如下：</w:t>
      </w:r>
    </w:p>
    <w:tbl>
      <w:tblPr>
        <w:tblStyle w:val="9"/>
        <w:tblW w:w="4926" w:type="pct"/>
        <w:tblInd w:w="0" w:type="dxa"/>
        <w:tblLayout w:type="fixed"/>
        <w:tblCellMar>
          <w:top w:w="0" w:type="dxa"/>
          <w:left w:w="108" w:type="dxa"/>
          <w:bottom w:w="0" w:type="dxa"/>
          <w:right w:w="108" w:type="dxa"/>
        </w:tblCellMar>
      </w:tblPr>
      <w:tblGrid>
        <w:gridCol w:w="621"/>
        <w:gridCol w:w="1235"/>
        <w:gridCol w:w="762"/>
        <w:gridCol w:w="643"/>
        <w:gridCol w:w="1558"/>
        <w:gridCol w:w="3577"/>
      </w:tblGrid>
      <w:tr w14:paraId="4815689A">
        <w:tblPrEx>
          <w:tblCellMar>
            <w:top w:w="0" w:type="dxa"/>
            <w:left w:w="108" w:type="dxa"/>
            <w:bottom w:w="0" w:type="dxa"/>
            <w:right w:w="108" w:type="dxa"/>
          </w:tblCellMar>
        </w:tblPrEx>
        <w:trPr>
          <w:trHeight w:val="27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FD07">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类别</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E260">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配件名称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61F2">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数量</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3772">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单位</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3F28">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适用打印机类型</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2B15">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备注</w:t>
            </w:r>
          </w:p>
        </w:tc>
      </w:tr>
      <w:tr w14:paraId="182AF950">
        <w:tblPrEx>
          <w:tblCellMar>
            <w:top w:w="0" w:type="dxa"/>
            <w:left w:w="108" w:type="dxa"/>
            <w:bottom w:w="0" w:type="dxa"/>
            <w:right w:w="108" w:type="dxa"/>
          </w:tblCellMar>
        </w:tblPrEx>
        <w:trPr>
          <w:trHeight w:val="90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F46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通用耗材</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3D3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硒鼓（各型号）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5185">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B3F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E0DC">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7F2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严格匹配型号，优先原厂或RoHS/CE认证配件；国产硒鼓性价比高但需注意兼容性</w:t>
            </w:r>
          </w:p>
        </w:tc>
      </w:tr>
      <w:tr w14:paraId="1B955F90">
        <w:tblPrEx>
          <w:tblCellMar>
            <w:top w:w="0" w:type="dxa"/>
            <w:left w:w="108" w:type="dxa"/>
            <w:bottom w:w="0" w:type="dxa"/>
            <w:right w:w="108" w:type="dxa"/>
          </w:tblCellMar>
        </w:tblPrEx>
        <w:trPr>
          <w:trHeight w:val="98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26A9">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119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墨盒（各型号）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6DE6">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7B6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CFB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喷墨打印机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BC9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避免长时间闲置，防止墨水干涸堵塞喷头</w:t>
            </w:r>
          </w:p>
        </w:tc>
      </w:tr>
      <w:tr w14:paraId="7084FD56">
        <w:tblPrEx>
          <w:tblCellMar>
            <w:top w:w="0" w:type="dxa"/>
            <w:left w:w="108" w:type="dxa"/>
            <w:bottom w:w="0" w:type="dxa"/>
            <w:right w:w="108" w:type="dxa"/>
          </w:tblCellMar>
        </w:tblPrEx>
        <w:trPr>
          <w:trHeight w:val="711"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407F">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EB4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碳粉</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A118">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D71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瓶</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D0B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激光打印机（补充用）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DE9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需与原硒鼓型号匹配，添加时避免粉尘泄漏</w:t>
            </w:r>
          </w:p>
        </w:tc>
      </w:tr>
      <w:tr w14:paraId="648FAC1F">
        <w:tblPrEx>
          <w:tblCellMar>
            <w:top w:w="0" w:type="dxa"/>
            <w:left w:w="108" w:type="dxa"/>
            <w:bottom w:w="0" w:type="dxa"/>
            <w:right w:w="108" w:type="dxa"/>
          </w:tblCellMar>
        </w:tblPrEx>
        <w:trPr>
          <w:trHeight w:val="7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DC65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通用机械部件</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1DB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搓纸轮</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ABD5">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22F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根</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418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DDE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定期检查磨损情况，磨损后易导致卡纸或多张进纸</w:t>
            </w:r>
          </w:p>
        </w:tc>
      </w:tr>
      <w:tr w14:paraId="40138932">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5BEE">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6E7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分页器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7743">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87F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59F3">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6D6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与搓纸轮配合使用，提升纸张分离精度</w:t>
            </w:r>
          </w:p>
        </w:tc>
      </w:tr>
      <w:tr w14:paraId="6BC7FC1F">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F3EE">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nil"/>
              <w:right w:val="single" w:color="000000" w:sz="4" w:space="0"/>
            </w:tcBorders>
            <w:shd w:val="clear" w:color="auto" w:fill="auto"/>
            <w:vAlign w:val="center"/>
          </w:tcPr>
          <w:p w14:paraId="1626BE5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齿轮轴套</w:t>
            </w:r>
          </w:p>
        </w:tc>
        <w:tc>
          <w:tcPr>
            <w:tcW w:w="454" w:type="pct"/>
            <w:tcBorders>
              <w:top w:val="single" w:color="000000" w:sz="4" w:space="0"/>
              <w:left w:val="single" w:color="000000" w:sz="4" w:space="0"/>
              <w:bottom w:val="nil"/>
              <w:right w:val="single" w:color="000000" w:sz="4" w:space="0"/>
            </w:tcBorders>
            <w:shd w:val="clear" w:color="auto" w:fill="auto"/>
            <w:vAlign w:val="center"/>
          </w:tcPr>
          <w:p w14:paraId="25123A58">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w:t>
            </w:r>
          </w:p>
        </w:tc>
        <w:tc>
          <w:tcPr>
            <w:tcW w:w="383" w:type="pct"/>
            <w:tcBorders>
              <w:top w:val="single" w:color="000000" w:sz="4" w:space="0"/>
              <w:left w:val="single" w:color="000000" w:sz="4" w:space="0"/>
              <w:bottom w:val="nil"/>
              <w:right w:val="single" w:color="000000" w:sz="4" w:space="0"/>
            </w:tcBorders>
            <w:shd w:val="clear" w:color="auto" w:fill="auto"/>
            <w:vAlign w:val="center"/>
          </w:tcPr>
          <w:p w14:paraId="25A1F95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nil"/>
              <w:right w:val="single" w:color="000000" w:sz="4" w:space="0"/>
            </w:tcBorders>
            <w:shd w:val="clear" w:color="auto" w:fill="auto"/>
            <w:vAlign w:val="center"/>
          </w:tcPr>
          <w:p w14:paraId="3B60D95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nil"/>
              <w:right w:val="single" w:color="000000" w:sz="4" w:space="0"/>
            </w:tcBorders>
            <w:shd w:val="clear" w:color="auto" w:fill="auto"/>
            <w:vAlign w:val="center"/>
          </w:tcPr>
          <w:p w14:paraId="6B0E59F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通过10万次运转测试的耐久性更佳，避免传动卡顿</w:t>
            </w:r>
          </w:p>
        </w:tc>
      </w:tr>
      <w:tr w14:paraId="1B995706">
        <w:tblPrEx>
          <w:tblCellMar>
            <w:top w:w="0" w:type="dxa"/>
            <w:left w:w="108" w:type="dxa"/>
            <w:bottom w:w="0" w:type="dxa"/>
            <w:right w:w="108" w:type="dxa"/>
          </w:tblCellMar>
        </w:tblPrEx>
        <w:trPr>
          <w:trHeight w:val="7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C59C">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激光打印机专用</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209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定影膜</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5EB8">
            <w:pPr>
              <w:widowControl/>
              <w:adjustRightInd w:val="0"/>
              <w:snapToGrid w:val="0"/>
              <w:spacing w:line="440" w:lineRule="exact"/>
              <w:jc w:val="center"/>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43B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张</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066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210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需耐受200℃高温循环，劣质定影膜易导致图像定影不牢</w:t>
            </w:r>
          </w:p>
        </w:tc>
      </w:tr>
      <w:tr w14:paraId="22F2A6CA">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ED57">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3602">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加热组件（加热片/灯）</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FF7C">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EA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03A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1432">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定期检查加热效率，避免加热不均导致打印模糊</w:t>
            </w:r>
          </w:p>
        </w:tc>
      </w:tr>
      <w:tr w14:paraId="706606C4">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E12F">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9D1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转印辊</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E2AF">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9154">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根</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B55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55C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表面需保持清洁，避免残留碳粉影响图像质量</w:t>
            </w:r>
          </w:p>
        </w:tc>
      </w:tr>
      <w:tr w14:paraId="30942463">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315E">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41CC">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感光鼓（OPC鼓）</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5083">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16D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E053">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4C3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避免强光直射，防止感光层老化；定期清洁表面残留碳粉</w:t>
            </w:r>
          </w:p>
        </w:tc>
      </w:tr>
      <w:tr w14:paraId="1AF438F9">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9ED4">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7C0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充电辊</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2598">
            <w:pPr>
              <w:widowControl/>
              <w:adjustRightInd w:val="0"/>
              <w:snapToGrid w:val="0"/>
              <w:spacing w:line="440" w:lineRule="exact"/>
              <w:jc w:val="center"/>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DF33">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根</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D1E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05C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老化后易导致充电不均，出现打印空白或模糊</w:t>
            </w:r>
          </w:p>
        </w:tc>
      </w:tr>
      <w:tr w14:paraId="10D86BFC">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C448">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9BC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清洁刮板</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46B9">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8142">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E58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激光打印机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9992">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需定期更换，避免刮板老化导致废粉堆积堵塞</w:t>
            </w:r>
          </w:p>
        </w:tc>
      </w:tr>
      <w:tr w14:paraId="0331D3CF">
        <w:tblPrEx>
          <w:tblCellMar>
            <w:top w:w="0" w:type="dxa"/>
            <w:left w:w="108" w:type="dxa"/>
            <w:bottom w:w="0" w:type="dxa"/>
            <w:right w:w="108" w:type="dxa"/>
          </w:tblCellMar>
        </w:tblPrEx>
        <w:trPr>
          <w:trHeight w:val="7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A2BE7">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喷墨打印机专用</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8DA4">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打印头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DC2A">
            <w:pPr>
              <w:widowControl/>
              <w:adjustRightInd w:val="0"/>
              <w:snapToGrid w:val="0"/>
              <w:spacing w:line="440" w:lineRule="exact"/>
              <w:jc w:val="center"/>
              <w:textAlignment w:val="center"/>
              <w:rPr>
                <w:rFonts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6A3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BF0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喷墨打印机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CA33">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24喷嘴/48喷嘴等型号需匹配；定期清洁防止喷嘴堵塞</w:t>
            </w:r>
          </w:p>
        </w:tc>
      </w:tr>
      <w:tr w14:paraId="0D47B6E5">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6556">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D8E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清洁单元</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EE7A">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518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D43C">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喷墨打印机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34B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废墨垫需定期更换，避免废墨溢出污染打印机内部</w:t>
            </w:r>
          </w:p>
        </w:tc>
      </w:tr>
      <w:tr w14:paraId="06452657">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72AC">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B15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墨盒支架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82F0">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CA6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115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喷墨打印机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BD4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适配黑彩双头设计（如佳能G1810）等特殊机型</w:t>
            </w:r>
          </w:p>
        </w:tc>
      </w:tr>
      <w:tr w14:paraId="36667E40">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8EC3">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B3C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连供系统</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5B14">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D46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F257">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喷墨打印机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1A8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安装时需排尽气泡，避免供墨中断；适配大印量办公需求</w:t>
            </w:r>
          </w:p>
        </w:tc>
      </w:tr>
      <w:tr w14:paraId="7A513CE1">
        <w:tblPrEx>
          <w:tblCellMar>
            <w:top w:w="0" w:type="dxa"/>
            <w:left w:w="108" w:type="dxa"/>
            <w:bottom w:w="0" w:type="dxa"/>
            <w:right w:w="108" w:type="dxa"/>
          </w:tblCellMar>
        </w:tblPrEx>
        <w:trPr>
          <w:trHeight w:val="80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98D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针式打印机专用</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88E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打印针</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35C6">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D12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55F4">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针式打印机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228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24针结构为主，需定期检查针头磨损情况</w:t>
            </w:r>
          </w:p>
        </w:tc>
      </w:tr>
      <w:tr w14:paraId="027F1CC8">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E03B">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692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色带框/色带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8A4A">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55C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AA86">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针式打印机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1C43">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色带宽度需匹配票据规格，避免打印偏移</w:t>
            </w:r>
          </w:p>
        </w:tc>
      </w:tr>
      <w:tr w14:paraId="32FE38BA">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DB2A">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20F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驱动线圈</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54DD">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DBE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88F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针式打印机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5AF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需与打印机型号匹配，保障击打力度稳定</w:t>
            </w:r>
          </w:p>
        </w:tc>
      </w:tr>
      <w:tr w14:paraId="14100EEB">
        <w:tblPrEx>
          <w:tblCellMar>
            <w:top w:w="0" w:type="dxa"/>
            <w:left w:w="108" w:type="dxa"/>
            <w:bottom w:w="0" w:type="dxa"/>
            <w:right w:w="108" w:type="dxa"/>
          </w:tblCellMar>
        </w:tblPrEx>
        <w:trPr>
          <w:trHeight w:val="74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07AE2">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热敏打印机专用</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EBD7">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热敏打印头</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5748">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11A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D7E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热敏打印机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675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需耐高温循环，定期清洁打印头表面防止污渍影响成像</w:t>
            </w:r>
          </w:p>
        </w:tc>
      </w:tr>
      <w:tr w14:paraId="583A2B68">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D033E">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259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切纸机构</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B641">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6E12">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DB3C">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热敏打印机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28E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刀片需定期更换，保障裁切边缘平整</w:t>
            </w:r>
          </w:p>
        </w:tc>
      </w:tr>
      <w:tr w14:paraId="428FE70F">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438E">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6C3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传感器模块</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A671">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7584">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个</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455D">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热敏打印机</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B379">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包含纸张检测、温度传感器，确保打印过程稳定</w:t>
            </w:r>
          </w:p>
        </w:tc>
      </w:tr>
      <w:tr w14:paraId="6CD9018E">
        <w:tblPrEx>
          <w:tblCellMar>
            <w:top w:w="0" w:type="dxa"/>
            <w:left w:w="108" w:type="dxa"/>
            <w:bottom w:w="0" w:type="dxa"/>
            <w:right w:w="108" w:type="dxa"/>
          </w:tblCellMar>
        </w:tblPrEx>
        <w:trPr>
          <w:trHeight w:val="58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F6A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维护与辅助</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88F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清洁纸</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71CC">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D5E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张</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9CAE">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AE97">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避免使用普通纸擦拭，防止划伤精密部件表面</w:t>
            </w:r>
          </w:p>
        </w:tc>
      </w:tr>
      <w:tr w14:paraId="2946D582">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4C8D">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E41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防双张分离垫</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2527">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9DC3">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5E6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FC27">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定期检查分离垫弹性，老化后需及时更换</w:t>
            </w:r>
          </w:p>
        </w:tc>
      </w:tr>
      <w:tr w14:paraId="3E19E570">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4F1D1">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704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USB打印电缆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0653">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2DBF">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根</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305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B54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支持3米长距离信号传输，需选择屏蔽效果好的线材</w:t>
            </w:r>
          </w:p>
        </w:tc>
      </w:tr>
      <w:tr w14:paraId="1710F7DD">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7967">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DACA">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电源适配器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1CB6">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7B0B">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根</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1AAC">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D1A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需匹配打印机额定电压，部分机型需配备专用电源板</w:t>
            </w:r>
          </w:p>
        </w:tc>
      </w:tr>
      <w:tr w14:paraId="383A6388">
        <w:tblPrEx>
          <w:tblCellMar>
            <w:top w:w="0" w:type="dxa"/>
            <w:left w:w="108" w:type="dxa"/>
            <w:bottom w:w="0" w:type="dxa"/>
            <w:right w:w="108" w:type="dxa"/>
          </w:tblCellMar>
        </w:tblPrEx>
        <w:trPr>
          <w:trHeight w:val="5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2F12">
            <w:pPr>
              <w:adjustRightInd w:val="0"/>
              <w:snapToGrid w:val="0"/>
              <w:spacing w:line="440" w:lineRule="exact"/>
              <w:jc w:val="left"/>
              <w:rPr>
                <w:rFonts w:ascii="宋体" w:hAnsi="宋体" w:eastAsia="宋体" w:cs="宋体"/>
                <w:color w:val="000000"/>
                <w:sz w:val="24"/>
                <w:szCs w:val="24"/>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E248">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外壳卡扣/导轨支架</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96BC">
            <w:pPr>
              <w:widowControl/>
              <w:adjustRightInd w:val="0"/>
              <w:snapToGrid w:val="0"/>
              <w:spacing w:line="440" w:lineRule="exact"/>
              <w:jc w:val="center"/>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3790">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套</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8311">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通用</w:t>
            </w:r>
          </w:p>
        </w:tc>
        <w:tc>
          <w:tcPr>
            <w:tcW w:w="2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C6A5">
            <w:pPr>
              <w:widowControl/>
              <w:adjustRightInd w:val="0"/>
              <w:snapToGrid w:val="0"/>
              <w:spacing w:line="440" w:lineRule="exact"/>
              <w:jc w:val="left"/>
              <w:textAlignment w:val="center"/>
              <w:rPr>
                <w:rFonts w:ascii="宋体" w:hAnsi="宋体" w:eastAsia="宋体" w:cs="宋体"/>
                <w:color w:val="000000"/>
                <w:sz w:val="24"/>
                <w:szCs w:val="24"/>
              </w:rPr>
            </w:pPr>
            <w:r>
              <w:rPr>
                <w:rFonts w:hint="eastAsia" w:ascii="宋体" w:hAnsi="宋体" w:eastAsia="宋体" w:cs="宋体"/>
                <w:snapToGrid w:val="0"/>
                <w:color w:val="000000"/>
                <w:kern w:val="0"/>
                <w:sz w:val="24"/>
                <w:szCs w:val="24"/>
                <w:lang w:bidi="ar"/>
              </w:rPr>
              <w:t>注塑件需保障装配精度，避免外壳松动影响运行稳定性</w:t>
            </w:r>
          </w:p>
        </w:tc>
      </w:tr>
    </w:tbl>
    <w:p w14:paraId="643EB256">
      <w:pPr>
        <w:keepNext w:val="0"/>
        <w:keepLines w:val="0"/>
        <w:pageBreakBefore w:val="0"/>
        <w:numPr>
          <w:ilvl w:val="0"/>
          <w:numId w:val="0"/>
        </w:numPr>
        <w:kinsoku/>
        <w:wordWrap/>
        <w:overflowPunct/>
        <w:topLinePunct w:val="0"/>
        <w:autoSpaceDE/>
        <w:autoSpaceDN/>
        <w:bidi w:val="0"/>
        <w:adjustRightInd w:val="0"/>
        <w:snapToGrid w:val="0"/>
        <w:spacing w:line="440" w:lineRule="exact"/>
        <w:ind w:leftChars="0"/>
        <w:jc w:val="left"/>
        <w:outlineLvl w:val="0"/>
        <w:rPr>
          <w:rFonts w:hint="eastAsia" w:ascii="仿宋" w:hAnsi="仿宋" w:eastAsia="仿宋" w:cs="仿宋"/>
          <w:b w:val="0"/>
          <w:bCs w:val="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1"/>
      <w:numFmt w:val="chineseCounting"/>
      <w:suff w:val="nothing"/>
      <w:lvlText w:val="（%1）"/>
      <w:lvlJc w:val="left"/>
      <w:pPr>
        <w:ind w:left="0" w:firstLine="420"/>
      </w:pPr>
      <w:rPr>
        <w:rFonts w:hint="eastAsia"/>
      </w:rPr>
    </w:lvl>
  </w:abstractNum>
  <w:abstractNum w:abstractNumId="1">
    <w:nsid w:val="E9CAD374"/>
    <w:multiLevelType w:val="singleLevel"/>
    <w:tmpl w:val="E9CAD374"/>
    <w:lvl w:ilvl="0" w:tentative="0">
      <w:start w:val="1"/>
      <w:numFmt w:val="chineseCounting"/>
      <w:suff w:val="nothing"/>
      <w:lvlText w:val="（%1）"/>
      <w:lvlJc w:val="left"/>
      <w:pPr>
        <w:ind w:left="0" w:firstLine="420"/>
      </w:pPr>
      <w:rPr>
        <w:rFonts w:hint="eastAsia"/>
      </w:rPr>
    </w:lvl>
  </w:abstractNum>
  <w:abstractNum w:abstractNumId="2">
    <w:nsid w:val="0F74082E"/>
    <w:multiLevelType w:val="singleLevel"/>
    <w:tmpl w:val="0F74082E"/>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6409"/>
    <w:rsid w:val="00BC57CD"/>
    <w:rsid w:val="011E1FE4"/>
    <w:rsid w:val="01DA1E97"/>
    <w:rsid w:val="03032BFE"/>
    <w:rsid w:val="03F84D6E"/>
    <w:rsid w:val="04346A72"/>
    <w:rsid w:val="044004C3"/>
    <w:rsid w:val="05664EC4"/>
    <w:rsid w:val="063F21F6"/>
    <w:rsid w:val="06872D56"/>
    <w:rsid w:val="06FC6923"/>
    <w:rsid w:val="070D2242"/>
    <w:rsid w:val="07B40FAC"/>
    <w:rsid w:val="08ED6E6B"/>
    <w:rsid w:val="09BF1E8A"/>
    <w:rsid w:val="0D166265"/>
    <w:rsid w:val="0D766D04"/>
    <w:rsid w:val="0DFC3E81"/>
    <w:rsid w:val="0E106CB9"/>
    <w:rsid w:val="0EA33B28"/>
    <w:rsid w:val="0EAD0785"/>
    <w:rsid w:val="0ED71A24"/>
    <w:rsid w:val="0EFD76DC"/>
    <w:rsid w:val="10330CE8"/>
    <w:rsid w:val="104D01F0"/>
    <w:rsid w:val="109127D2"/>
    <w:rsid w:val="10963D8A"/>
    <w:rsid w:val="109C5E4D"/>
    <w:rsid w:val="11E22BBA"/>
    <w:rsid w:val="124B69B1"/>
    <w:rsid w:val="12957C2C"/>
    <w:rsid w:val="12C0114D"/>
    <w:rsid w:val="12F37543"/>
    <w:rsid w:val="135F0ED4"/>
    <w:rsid w:val="175C6F6A"/>
    <w:rsid w:val="17CB4640"/>
    <w:rsid w:val="17FF4711"/>
    <w:rsid w:val="186E2BE4"/>
    <w:rsid w:val="18CB43A7"/>
    <w:rsid w:val="19020C0B"/>
    <w:rsid w:val="1909773D"/>
    <w:rsid w:val="19600F94"/>
    <w:rsid w:val="19C617E1"/>
    <w:rsid w:val="19EC4C52"/>
    <w:rsid w:val="1A23796E"/>
    <w:rsid w:val="1A3D12D5"/>
    <w:rsid w:val="1A4C554E"/>
    <w:rsid w:val="1AFA1BD0"/>
    <w:rsid w:val="1CE70DE3"/>
    <w:rsid w:val="1E34479D"/>
    <w:rsid w:val="1E867A00"/>
    <w:rsid w:val="1ECA6EAF"/>
    <w:rsid w:val="1FA45952"/>
    <w:rsid w:val="2040567B"/>
    <w:rsid w:val="2100253D"/>
    <w:rsid w:val="21075FBA"/>
    <w:rsid w:val="215025B4"/>
    <w:rsid w:val="22014525"/>
    <w:rsid w:val="22A530BF"/>
    <w:rsid w:val="22EE5862"/>
    <w:rsid w:val="232272BA"/>
    <w:rsid w:val="23623B5A"/>
    <w:rsid w:val="24A445F5"/>
    <w:rsid w:val="2556244F"/>
    <w:rsid w:val="258E2054"/>
    <w:rsid w:val="275E0EFB"/>
    <w:rsid w:val="283A0DE1"/>
    <w:rsid w:val="28B07116"/>
    <w:rsid w:val="2A473AAA"/>
    <w:rsid w:val="2B2F367F"/>
    <w:rsid w:val="2B3D7387"/>
    <w:rsid w:val="2C7C7C88"/>
    <w:rsid w:val="2C974875"/>
    <w:rsid w:val="2CE35D0C"/>
    <w:rsid w:val="2D9B2143"/>
    <w:rsid w:val="2D9E7E85"/>
    <w:rsid w:val="2DCA6ECC"/>
    <w:rsid w:val="2F37233F"/>
    <w:rsid w:val="30183F1E"/>
    <w:rsid w:val="30955794"/>
    <w:rsid w:val="30C6397A"/>
    <w:rsid w:val="3264508B"/>
    <w:rsid w:val="34017831"/>
    <w:rsid w:val="34120C85"/>
    <w:rsid w:val="35352E7D"/>
    <w:rsid w:val="35466E38"/>
    <w:rsid w:val="354B7A7C"/>
    <w:rsid w:val="357C6CFE"/>
    <w:rsid w:val="35823C32"/>
    <w:rsid w:val="367B5BEF"/>
    <w:rsid w:val="36E3431A"/>
    <w:rsid w:val="397F2830"/>
    <w:rsid w:val="39902D77"/>
    <w:rsid w:val="3A587ABF"/>
    <w:rsid w:val="3B476ACD"/>
    <w:rsid w:val="3C6D73A0"/>
    <w:rsid w:val="3CEA6C43"/>
    <w:rsid w:val="3D215597"/>
    <w:rsid w:val="3D6D517E"/>
    <w:rsid w:val="3DAC5CA6"/>
    <w:rsid w:val="3DE43692"/>
    <w:rsid w:val="40890521"/>
    <w:rsid w:val="41465083"/>
    <w:rsid w:val="42FF4354"/>
    <w:rsid w:val="433F20E0"/>
    <w:rsid w:val="43B6162D"/>
    <w:rsid w:val="45745E78"/>
    <w:rsid w:val="46022BE9"/>
    <w:rsid w:val="468B4FF2"/>
    <w:rsid w:val="46CD35B6"/>
    <w:rsid w:val="46F030A7"/>
    <w:rsid w:val="494B5CAF"/>
    <w:rsid w:val="4A19661E"/>
    <w:rsid w:val="4B406B75"/>
    <w:rsid w:val="4B7C315C"/>
    <w:rsid w:val="4BEA4569"/>
    <w:rsid w:val="4C371778"/>
    <w:rsid w:val="4C62195E"/>
    <w:rsid w:val="4C9646F1"/>
    <w:rsid w:val="4D1B0752"/>
    <w:rsid w:val="4D3F6B37"/>
    <w:rsid w:val="4F343D4D"/>
    <w:rsid w:val="4FC13833"/>
    <w:rsid w:val="502B6EFE"/>
    <w:rsid w:val="539E133B"/>
    <w:rsid w:val="55995C7E"/>
    <w:rsid w:val="5615206F"/>
    <w:rsid w:val="5991071A"/>
    <w:rsid w:val="59995821"/>
    <w:rsid w:val="5A551748"/>
    <w:rsid w:val="5A563FC2"/>
    <w:rsid w:val="5C6E6AF1"/>
    <w:rsid w:val="5E1C257C"/>
    <w:rsid w:val="60372847"/>
    <w:rsid w:val="6151078F"/>
    <w:rsid w:val="61EE60CE"/>
    <w:rsid w:val="62E42611"/>
    <w:rsid w:val="65D75ADD"/>
    <w:rsid w:val="67515045"/>
    <w:rsid w:val="68550B65"/>
    <w:rsid w:val="68633281"/>
    <w:rsid w:val="687D5967"/>
    <w:rsid w:val="68994EF5"/>
    <w:rsid w:val="69635503"/>
    <w:rsid w:val="696C260A"/>
    <w:rsid w:val="6BFA3EFD"/>
    <w:rsid w:val="6C2076DB"/>
    <w:rsid w:val="6D205895"/>
    <w:rsid w:val="6D350F65"/>
    <w:rsid w:val="6DE36C13"/>
    <w:rsid w:val="6FCE072A"/>
    <w:rsid w:val="71186BD3"/>
    <w:rsid w:val="73BC23E0"/>
    <w:rsid w:val="742C4E6F"/>
    <w:rsid w:val="747F7695"/>
    <w:rsid w:val="74DD0860"/>
    <w:rsid w:val="75DB4D9F"/>
    <w:rsid w:val="76805636"/>
    <w:rsid w:val="76A2766B"/>
    <w:rsid w:val="78511E2B"/>
    <w:rsid w:val="78934393"/>
    <w:rsid w:val="79C3347E"/>
    <w:rsid w:val="7A682979"/>
    <w:rsid w:val="7AA443C3"/>
    <w:rsid w:val="7AC8166A"/>
    <w:rsid w:val="7B18614D"/>
    <w:rsid w:val="7B30473A"/>
    <w:rsid w:val="7C6158D2"/>
    <w:rsid w:val="7C70217B"/>
    <w:rsid w:val="7D625DA6"/>
    <w:rsid w:val="7E9F0934"/>
    <w:rsid w:val="7F9D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宋体" w:hAnsi="宋体" w:eastAsia="宋体" w:cs="宋体"/>
      <w:sz w:val="31"/>
      <w:szCs w:val="31"/>
      <w:lang w:val="en-US" w:eastAsia="en-US" w:bidi="ar-SA"/>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qFormat/>
    <w:uiPriority w:val="0"/>
    <w:pPr>
      <w:spacing w:after="120"/>
      <w:ind w:firstLine="420" w:firstLineChars="100"/>
    </w:pPr>
    <w:rPr>
      <w:rFonts w:ascii="Times New Roman" w:hAnsi="Times New Roman" w:eastAsia="宋体"/>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TML Code"/>
    <w:basedOn w:val="11"/>
    <w:qFormat/>
    <w:uiPriority w:val="0"/>
    <w:rPr>
      <w:rFonts w:ascii="Courier New" w:hAnsi="Courier New"/>
      <w:sz w:val="20"/>
      <w:shd w:val="clear" w:fill="E9ECEF"/>
    </w:rPr>
  </w:style>
  <w:style w:type="character" w:styleId="14">
    <w:name w:val="HTML Cite"/>
    <w:basedOn w:val="11"/>
    <w:qFormat/>
    <w:uiPriority w:val="0"/>
    <w:rPr>
      <w:bdr w:val="single" w:color="DDDDDD" w:sz="36" w:space="0"/>
      <w:shd w:val="clear" w:fill="F9F9F9"/>
    </w:rPr>
  </w:style>
  <w:style w:type="character" w:customStyle="1" w:styleId="15">
    <w:name w:val="font11"/>
    <w:basedOn w:val="11"/>
    <w:qFormat/>
    <w:uiPriority w:val="0"/>
    <w:rPr>
      <w:rFonts w:hint="eastAsia" w:ascii="宋体" w:hAnsi="宋体" w:eastAsia="宋体" w:cs="宋体"/>
      <w:b/>
      <w:bCs/>
      <w:color w:val="000000"/>
      <w:sz w:val="22"/>
      <w:szCs w:val="22"/>
      <w:u w:val="none"/>
    </w:rPr>
  </w:style>
  <w:style w:type="character" w:customStyle="1" w:styleId="16">
    <w:name w:val="font31"/>
    <w:basedOn w:val="11"/>
    <w:qFormat/>
    <w:uiPriority w:val="0"/>
    <w:rPr>
      <w:rFonts w:hint="eastAsia" w:ascii="宋体" w:hAnsi="宋体" w:eastAsia="宋体" w:cs="宋体"/>
      <w:b/>
      <w:bCs/>
      <w:color w:val="000000"/>
      <w:sz w:val="22"/>
      <w:szCs w:val="22"/>
      <w:u w:val="singl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4624</Words>
  <Characters>5036</Characters>
  <Lines>0</Lines>
  <Paragraphs>0</Paragraphs>
  <TotalTime>0</TotalTime>
  <ScaleCrop>false</ScaleCrop>
  <LinksUpToDate>false</LinksUpToDate>
  <CharactersWithSpaces>5086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2026-04-11T00:45:00Z</dcterms:created>
  <dc:creator>jin</dc:creator>
  <cp:lastModifiedBy>小祝不是小猪</cp:lastModifiedBy>
  <dcterms:modified xsi:type="dcterms:W3CDTF">2026-04-22T07:03:04Z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D73BFF0D8F23433298412979B25207CA_13</vt:lpwstr>
  </property>
  <property fmtid="{D5CDD505-2E9C-101B-9397-08002B2CF9AE}" pid="4" name="KSOTemplateDocerSaveRecord">
    <vt:lpwstr>eyJoZGlkIjoiM2ZkNzA0YTVjYTVhYTU3YTJkMmQwOGM0MjFmYjEwMzIiLCJ1c2VySWQiOiI1NjQ3ODk3NjUifQ==</vt:lpwstr>
  </property>
</Properties>
</file>