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before="0" w:beforeAutospacing="0" w:after="0" w:afterAutospacing="0" w:line="240" w:lineRule="auto"/>
        <w:ind w:firstLine="321" w:firstLineChars="100"/>
        <w:jc w:val="both"/>
        <w:rPr>
          <w:rFonts w:hint="eastAsia" w:ascii="Times New Roman" w:hAnsi="Times New Roman" w:eastAsia="宋体" w:cs="宋体"/>
          <w:bCs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宋体" w:cs="宋体"/>
          <w:bCs w:val="0"/>
          <w:sz w:val="32"/>
          <w:szCs w:val="32"/>
          <w:u w:val="none"/>
          <w:lang w:val="en-US" w:eastAsia="zh-CN"/>
        </w:rPr>
        <w:t>安庆市第六人民医院病案室</w:t>
      </w:r>
      <w:r>
        <w:rPr>
          <w:rFonts w:hint="eastAsia" w:ascii="Times New Roman" w:hAnsi="Times New Roman" w:eastAsia="宋体" w:cs="宋体"/>
          <w:bCs w:val="0"/>
          <w:sz w:val="32"/>
          <w:szCs w:val="32"/>
          <w:u w:val="none"/>
          <w:lang w:eastAsia="zh-CN"/>
        </w:rPr>
        <w:t>手动密集架数量及技术参数</w:t>
      </w:r>
    </w:p>
    <w:p>
      <w:pPr>
        <w:rPr>
          <w:rFonts w:hint="eastAsia"/>
          <w:lang w:eastAsia="zh-CN"/>
        </w:rPr>
      </w:pPr>
    </w:p>
    <w:tbl>
      <w:tblPr>
        <w:tblStyle w:val="13"/>
        <w:tblW w:w="47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808"/>
        <w:gridCol w:w="2601"/>
        <w:gridCol w:w="918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82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 格（W*D*H，mm）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282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手动型双柱密集架（内8层）</w:t>
            </w:r>
          </w:p>
          <w:p>
            <w:pPr>
              <w:pStyle w:val="2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库房（1-3）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5500*700*2600</w:t>
            </w:r>
          </w:p>
          <w:p>
            <w:pPr>
              <w:pStyle w:val="2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（21 ）列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立方</w:t>
            </w:r>
          </w:p>
        </w:tc>
        <w:tc>
          <w:tcPr>
            <w:tcW w:w="1437" w:type="pc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</w:t>
            </w:r>
          </w:p>
        </w:tc>
      </w:tr>
    </w:tbl>
    <w:p>
      <w:pPr>
        <w:pStyle w:val="5"/>
        <w:spacing w:after="0" w:afterAutospacing="0"/>
        <w:rPr>
          <w:rFonts w:cs="Times New Roman"/>
          <w:bCs w:val="0"/>
          <w:color w:val="FF0000"/>
          <w:sz w:val="24"/>
          <w:szCs w:val="24"/>
        </w:rPr>
      </w:pPr>
    </w:p>
    <w:p>
      <w:pPr>
        <w:pStyle w:val="5"/>
        <w:spacing w:after="0" w:afterAutospacing="0"/>
        <w:rPr>
          <w:rFonts w:cs="Times New Roman"/>
          <w:bCs w:val="0"/>
          <w:color w:val="FF0000"/>
          <w:sz w:val="24"/>
          <w:szCs w:val="24"/>
        </w:rPr>
      </w:pPr>
    </w:p>
    <w:p>
      <w:pPr>
        <w:pStyle w:val="5"/>
        <w:spacing w:after="0" w:afterAutospacing="0"/>
        <w:rPr>
          <w:rFonts w:cs="Times New Roman"/>
          <w:bCs w:val="0"/>
          <w:color w:val="FF0000"/>
          <w:sz w:val="24"/>
          <w:szCs w:val="24"/>
        </w:rPr>
      </w:pPr>
    </w:p>
    <w:tbl>
      <w:tblPr>
        <w:tblStyle w:val="13"/>
        <w:tblW w:w="942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55"/>
        <w:gridCol w:w="8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Hlk149633656"/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品目名称</w:t>
            </w:r>
          </w:p>
        </w:tc>
        <w:tc>
          <w:tcPr>
            <w:tcW w:w="82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手动型双柱密集架</w:t>
            </w:r>
          </w:p>
        </w:tc>
        <w:tc>
          <w:tcPr>
            <w:tcW w:w="8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0"/>
              </w:tabs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一、手动密集架技术参数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架体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外观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结构性能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属件外观性能：管材无裂缝、叠缝；焊接处无脱焊、虚焊、焊穿、错位；焊接处无夹渣、气孔、焊瘤、焊丝头、咬边、飞溅；焊接处表面波纹均匀；涂层无漏喷、锈蚀和脱色、掉色现象；涂层光滑均匀，色泽一致，无流挂、疙瘩、皱皮、飞漆等缺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结构安全：人体接触或收藏物品的部位无毛刺、刃口、棱角；固定部件的结合牢固无松动、无少件、透钉、漏钉（预留孔、选择孔除外）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导轨偏差：单根导轨直线度应不大于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0.4mm/m，单根导轨水平偏差不大于0.4mm/m，相邻两根导轨宽度之间的平行度偏差不大于0.5mm/m，相邻两根导轨水平高度偏差应不大于0.4mm/m，导轨对接处高低差应不大于0.2mm/m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垂直度：立柱与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底梁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的垂直度应不大于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2、载重性能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搁板静载荷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每层搁板上均布静载荷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800N，搁板经静载荷试验后，无裂缝，最大挠度为1.9mm，残余变形量为0.16mm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2）全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静载荷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每层搁板上加均面静载荷，经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24h连续试验卸载后，挂板、搁板、立柱及其结合部位无塑性变形和其他异常现象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3）载重运行：在全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的情况下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进行试验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架体动动自如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，无阻滞现象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摇力不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3、结构强度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（1）标准架列在全静载荷的情况下，沿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X轴方向进行水平拉力试验，水平拉力为自重与全静载荷之和的1/15，经连续试验50次，试验中架体未倾倒，试验后架体倾斜量小于架体总高的1%， 各结构部件无塑形变形或其他异常现象。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标准架列在全静载荷的情况下，沿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Y轴方向进行水平拉力试验，水平拉力为自重与全静载荷之和的1/15，经连续试验50次，试验中架体未倾倒，试验后架体倾斜量小于架体总高的1%， 各结构部件无塑形变形或其他异常现象。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4、架体总结构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（1）密集架主要由导轨、底盘、传动机构和架体（包括立柱、挂板、搁板、顶板、门板及侧板）等零（部）件组合而成。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架顶应设防尘装置，列与列之间应装有20mm厚抗老化橡塑磁性密封条，门面列和中间移动列分别装有锁具和制动装置，每组密集架闭合后可用总锁锁住，形成一个封闭的整体，各列移开后可单独制动，确保人员安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（3）搁板、挂板可沿立柱的垂直方向调整高度。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（4）活动架列均安装防倾倒装置。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（5）导轨上安装有限位装置。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（6）轨道应固定，轨道与地面齐平。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5.传动机构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5.1▲传动机构技术性能：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外观性能：焊接件和喷涂层均合格；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理化性能：硬度≥5H、冲击高度≥500mm附着力≥0级；③中性盐雾试验（NSS）：镀（涂）层对基体保护等级和镀（涂）层本身耐腐蚀等级均不低于10级；④乙酸盐雾试验（ASS）：镀（涂）层对基体保护等级和镀（涂）层本身耐腐蚀等级均不低于10级；⑤铜加速乙酸盐雾试验（CASS）：镀（涂）层对基体保护等级和镀（涂）层本身耐腐蚀等级均不低于10级；⑥铜盐加速乙酸盐雾试验（CASS）：达10级；⑦耐霉菌性：耐霉菌性等级不低于0级；⑧抗菌性能：抑菌率≥99.62%；⑨公共场所阻燃家具及组件的燃烧性能：热释放速率峰值≤2.6KW、5min内放出的总能量≤0.4MJ、最大烟密度≤12%。需提供带CMA或CNAS标识的传动机构检测报告，且需提供检测机构的官网查询截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5.2传动机构主要构成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①传动轴：采用不低于φ20mm, 45#冷拉实心圆钢性能的材质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轴承：采用不低于 HR204E 级性能的双排珠心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链条：采用不低于Φ8.5节距，12.7FR420精制链条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滚轮：灰铁铸造，精加工成型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传动齿轮：ZG45 精制而成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连接钢管：采用不低于Φ20mm 实心45#圆钢性能的材质，表面镀锌防腐处理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摇手体：圆盘式摇手体。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座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6.1▲底座的技术性能：①外观性能：焊接件和喷涂层均合格；②理化性能：硬度≥5H、冲击高度≥500mm附着力≥0级；③中性盐雾试验（NSS）：镀（涂）层对基体保护等级和镀（涂）层本身耐腐蚀等级均不低于10级；④乙酸盐雾试验（ASS）：镀（涂）层对基体保护等级和镀（涂）层本身耐腐蚀等级均不低于10级；⑤铜加速乙酸盐雾试验（CASS）：镀（涂）层对基体保护等级和镀（涂）层本身耐腐蚀等级均不低于10级；⑥铜盐加速乙酸盐雾试验（CASS）：达10级；⑦耐霉菌性：耐霉菌性等级不低于0级；⑧抗菌性能：抑菌率≥99.58%；⑨公共场所阻燃家具及组件的燃烧性能：热释放速率峰值≤2.9KW、5min内放出的总能量≤0.5MJ、最大烟密度≤13%。需提供带CMA或CNAS标识的底座检测报告，且需提供检测机构的官网查询截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分段组合式，整体焊接而成，运行平稳且加工精度高，具有对接互换性，便于运输和安装，并设有防倾倒装置，防止架体倾倒。用材厚度不低于3.0mm的热轧钢板，压制成槽型，高度≥120mm，并双弯边加强，弯边大于50mm，架体长期荷重存放资料不变形，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与立柱连接采用不小于M8*20mm 的螺栓，底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装配后的直线平行度不大于0.5mm/m，全长不大于2mm。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.路轨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.1路轨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：轨芯采用20*20mm实心方钢，路轨两顶端设有限位装置，防止底盘脱轨，路轨保护板采用3.0mm冷轧钢板，轨盒宽≥1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镀锌处理，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不易生锈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承重2000kg时不变型。轨道和轨道盒用膨胀螺丝固定在地面上。按规定铺设轨道，轨道的平行偏差≤1mm，轨道之间任何位置的水平偏差≤0.5mm。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.立柱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.1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立柱工艺结构：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用材为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1.5mm冷轧钢板，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折弯工艺一次滚压成型，立柱成型≥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50*39mm（±1mm）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。立柱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正面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和侧面均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压不少于 2 根圆弧筋，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立柱两侧面均冲压挂孔，在受力情况下，越卡越紧，不易松动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立柱外形美观，结构牢固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开标现场提供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800mm的立柱一根。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9.搁板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 搁板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：用材为1.0mm冷轧钢板，厚度为≥25mm，正面压制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条加强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筋，压筋工艺确保搁板不变形，外形美观，结构新颖，刚性足，承重能力强，每层承重不低于80KG。满负载24小时后挠曲度≤2mm，卸载后自动恢复。表面采用酸洗磷化后进行喷塑处理。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开标现场提供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204*长300mm的搁板一块。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10.挂板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挂板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用材为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mm冷轧钢板，采用一次成型机成型，挂板两端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均冲压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与立柱相匹配的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挂扣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，挂板与立柱之间连接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，挂板越受力其扣接就越紧，挂板与立柱对接扣处无松动，更紧贴牢固，调节间距更小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开标现场提供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135*长450mm的挂板一块。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11.档棒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档棒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：采用厚度≥0.8mm冷轧钢板，表面静电喷塑。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12.侧板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 侧板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：采用≥1.0mm优质冷轧钢板，采用横三拼隔色结构。中腰板颜色由客户选定。中腰板表面冲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使表面更美观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13.门板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门板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：门面移动列均带上下对开门，采用厚度≥1.0mm冷轧钢板，表面静电喷塑。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14.顶板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顶板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：采用厚度≥0.8mm冷轧钢板，表面静电喷塑。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15.防尘板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防尘板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：采用厚度≥0.8mm冷轧钢板，具有耐高温、耐腐蚀、防尘、防静电等特性。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16.防鼠板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防鼠板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：采用厚度≥0.8mm冷轧钢板，板体光滑表面经过防腐处理，坚硬、美观。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17.密封胶条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17.1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密封胶条：采用20*20mm磁性冰箱门吸条，密封性能佳，经久耐用。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18.门面锁具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.1门锁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：为三级管理锁，门锁钥匙具有三级管理功能，1 把标编码钥匙与锁体对应；另一把钥匙（管理员钥匙）可实现可控制 1 个或多个团体，也可控制一个或多个库房；还有一把钥匙（即维修管理钥匙）用来换锁芯，当锁头损坏或钥匙损坏丢失等情况下，可通过维修管理钥匙直接更换锁头。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开标现场提供三级管理豪华锁实物一套。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19.圆盘式摇手 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19.1▲圆盘式摇手技术性能：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①塑料材料理化性能（耐老化性）：冲击强度的保持率≥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68.0%；外观颜色变色评级4-5级、②中性盐雾试验（NSS）：镀（涂）层对基体保护等级和镀（涂）层本身耐腐蚀等级均不低于10级；③乙酸盐雾试验（ASS）：镀（涂）层对基体保护等级和镀（涂）层本身耐腐蚀等级均不低于10级；④铜加速乙酸盐雾试验（CASS）：镀（涂）层对基体保护等级和镀（涂）层本身耐腐蚀等级均不低于10级；⑤邻苯二甲酸酯/%，未检出；⑥重金属（可溶性铅、镉、铬、汞）均未检出；⑦抗菌性能（抑菌率）≥99.53%；⑧防霉性能：防霉等级不低于0级。需提供带CMA或CNAS标识的圆盘式摇手检测报告，且需提供检测机构的官网查询截图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圆盘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式摇手工艺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辐设计，手感好，造型美观大方，做工精细。摇把为可折叠式，内装伸缩弹簧，使用时，往外轻拉即弹直；不使用时，将摇把提起往内折起即可。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20.材料列表</w:t>
            </w:r>
          </w:p>
          <w:tbl>
            <w:tblPr>
              <w:tblStyle w:val="13"/>
              <w:tblW w:w="5055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4"/>
              <w:gridCol w:w="302"/>
              <w:gridCol w:w="976"/>
              <w:gridCol w:w="1055"/>
              <w:gridCol w:w="1250"/>
              <w:gridCol w:w="1519"/>
              <w:gridCol w:w="20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设备配置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规格型号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技术参数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采用标准</w:t>
                  </w:r>
                </w:p>
              </w:tc>
              <w:tc>
                <w:tcPr>
                  <w:tcW w:w="209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性能说明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轨道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轨道座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3.0MM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冷轧钢板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708-2019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轨道座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表面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经镀锌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处理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，轨芯为实心方钢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轨芯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*2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实心方钢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3078-2019</w:t>
                  </w: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底架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横纵梁及轮架组合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3.0mm</w:t>
                  </w:r>
                </w:p>
              </w:tc>
              <w:tc>
                <w:tcPr>
                  <w:tcW w:w="1250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热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轧钢板</w:t>
                  </w:r>
                </w:p>
              </w:tc>
              <w:tc>
                <w:tcPr>
                  <w:tcW w:w="1519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708-2019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底盘采用整体焊接，刚性足，不变形，表面喷塑，分段式结构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底盘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架体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立柱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1.5MM</w:t>
                  </w:r>
                </w:p>
              </w:tc>
              <w:tc>
                <w:tcPr>
                  <w:tcW w:w="1250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冷轧钢板</w:t>
                  </w:r>
                </w:p>
              </w:tc>
              <w:tc>
                <w:tcPr>
                  <w:tcW w:w="1519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708-2019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架体结实,坚固,安装规范,层数和间距可自由调整，含立架中间直料和边框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搁板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挂板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侧板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档棒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门面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门板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1.0MM</w:t>
                  </w:r>
                </w:p>
              </w:tc>
              <w:tc>
                <w:tcPr>
                  <w:tcW w:w="1250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冷轧钢板</w:t>
                  </w:r>
                </w:p>
              </w:tc>
              <w:tc>
                <w:tcPr>
                  <w:tcW w:w="1519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708-2019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门板平整,款式新颖,表面亚光喷塑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门框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1.0MM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锁具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三级管理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豪华锁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GB/T 21556-2008</w:t>
                  </w:r>
                </w:p>
              </w:tc>
              <w:tc>
                <w:tcPr>
                  <w:tcW w:w="209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管理安全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传动机构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轴承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HR204E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双排珠心轴承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GB/T308.1-2013</w:t>
                  </w:r>
                </w:p>
              </w:tc>
              <w:tc>
                <w:tcPr>
                  <w:tcW w:w="209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精密度高,万向灵活,材料质量好,耐压与耐磨性能好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传动轴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Ø20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45#实心圆钢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699-2015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传动机构配合精密度高,定位可靠,传动轻便灵活,摇手轻,运行平稳性能达到和超过国家标准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连接钢管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Ø20×2.5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45#圆钢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GB/T8162-2018</w:t>
                  </w: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铁滚轮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Ø120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灰铁铸造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GB/T9439-2010</w:t>
                  </w: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传动齿轮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ZG45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滚轮精制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 T 10855-2016</w:t>
                  </w: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链条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Ø8.5节距12.7FR420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摩托车链条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 T 10855-2016</w:t>
                  </w:r>
                </w:p>
              </w:tc>
              <w:tc>
                <w:tcPr>
                  <w:tcW w:w="209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02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摇手体</w:t>
                  </w:r>
                </w:p>
              </w:tc>
              <w:tc>
                <w:tcPr>
                  <w:tcW w:w="97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盘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摇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手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外塑内钢</w:t>
                  </w:r>
                </w:p>
              </w:tc>
              <w:tc>
                <w:tcPr>
                  <w:tcW w:w="1250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双向超越离合器结构</w:t>
                  </w:r>
                </w:p>
              </w:tc>
              <w:tc>
                <w:tcPr>
                  <w:tcW w:w="1519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13667.3-2013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造型美观大方,手感舒适,折叠式把手,可避免通道障碍,摇动任意一列不会带动其它把手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02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976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滚珠轴承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250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制动装置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边列锁定装具（总锁）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808锁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/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GB/T 21556-2008</w:t>
                  </w:r>
                </w:p>
              </w:tc>
              <w:tc>
                <w:tcPr>
                  <w:tcW w:w="2091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每列均装有制动装置,磁性密封条,操作方便,制动可靠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密封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密封胶条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20×20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聚氯乙烯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528-2009</w:t>
                  </w:r>
                </w:p>
              </w:tc>
              <w:tc>
                <w:tcPr>
                  <w:tcW w:w="2091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每列的接触面均有缓冲及密封装置,具有良好的防震,防尘,防鼠,防光,防潮,防火功能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顶板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0.8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MM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冷轧钢板</w:t>
                  </w:r>
                </w:p>
              </w:tc>
              <w:tc>
                <w:tcPr>
                  <w:tcW w:w="1519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GB/T 708-2019</w:t>
                  </w: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防尘、防鼠板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0.8MM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冷轧钢板</w:t>
                  </w: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防倾倒板</w:t>
                  </w:r>
                </w:p>
              </w:tc>
              <w:tc>
                <w:tcPr>
                  <w:tcW w:w="1055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3.0MM</w:t>
                  </w:r>
                </w:p>
              </w:tc>
              <w:tc>
                <w:tcPr>
                  <w:tcW w:w="1250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冷轧钢板</w:t>
                  </w:r>
                </w:p>
              </w:tc>
              <w:tc>
                <w:tcPr>
                  <w:tcW w:w="1519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91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表面处理</w:t>
                  </w: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前处理</w:t>
                  </w:r>
                </w:p>
              </w:tc>
              <w:tc>
                <w:tcPr>
                  <w:tcW w:w="5915" w:type="dxa"/>
                  <w:gridSpan w:val="4"/>
                  <w:vMerge w:val="restart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环保性粉末静电高温喷塑，表面涂层：硬度 ≥ 0.4，冲击强度≥ 40cm无剥落、裂纹或皱纹等, 附着力≥2级,耐腐蚀100h后，划道两侧3mm以外，无锈迹、剥落、起皱、变色或失光等现象。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278" w:type="dxa"/>
                  <w:gridSpan w:val="2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静电喷塑</w:t>
                  </w:r>
                </w:p>
              </w:tc>
              <w:tc>
                <w:tcPr>
                  <w:tcW w:w="5915" w:type="dxa"/>
                  <w:gridSpan w:val="4"/>
                  <w:vMerge w:val="continue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964" w:type="dxa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紧固件</w:t>
                  </w:r>
                </w:p>
              </w:tc>
              <w:tc>
                <w:tcPr>
                  <w:tcW w:w="7193" w:type="dxa"/>
                  <w:gridSpan w:val="6"/>
                  <w:noWrap w:val="0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不低于45#\Q235-A钢制镀锌标准化零件</w:t>
                  </w:r>
                </w:p>
              </w:tc>
            </w:tr>
          </w:tbl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widowControl/>
              <w:autoSpaceDE w:val="0"/>
              <w:autoSpaceDN w:val="0"/>
              <w:jc w:val="center"/>
              <w:rPr>
                <w:rFonts w:hint="eastAsia" w:ascii="宋体" w:hAnsi="宋体" w:cs="宋体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bidi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</w:tr>
      <w:bookmarkEnd w:id="0"/>
    </w:tbl>
    <w:p>
      <w:pPr>
        <w:pStyle w:val="5"/>
        <w:spacing w:after="0" w:afterAutospacing="0"/>
        <w:rPr>
          <w:rFonts w:hint="eastAsia" w:cs="Times New Roman"/>
          <w:bCs w:val="0"/>
          <w:color w:val="FF0000"/>
          <w:sz w:val="24"/>
          <w:szCs w:val="24"/>
        </w:rPr>
      </w:pPr>
    </w:p>
    <w:p>
      <w:pPr>
        <w:widowControl/>
        <w:textAlignment w:val="bottom"/>
        <w:rPr>
          <w:rFonts w:hint="eastAsia"/>
          <w:bCs/>
          <w:color w:val="FF0000"/>
          <w:sz w:val="24"/>
        </w:rPr>
      </w:pPr>
    </w:p>
    <w:p>
      <w:pPr>
        <w:widowControl/>
        <w:textAlignment w:val="bottom"/>
        <w:rPr>
          <w:rFonts w:hint="eastAsia"/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说明：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1.响应人的响应文件必须标明所投设备的名称、生产厂家、品牌、型号、单位、数量、单价和总价等内容。保证原厂正品供货，提供相关资料等；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2.报价应包含满足本次采购需求的所有费用（包括但不限于：所投设备、保险、税费、包装、加工及加工损耗、运输、现场落地、安装及安装损耗、调试、检测验收和交付后约定期限内维保等 ）；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 清单明细需响应人在“投标响应表”中注明响应情况。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如技术参数中有要求提供检测报告和相关证书等证明材料的，则响应人可在响应文件中提供检测报告、相关证书等证明材料。未提供检测报告、相关证书等证明材料(或提供的检测报告，则视为无效响应。但中标后未按</w:t>
      </w:r>
      <w:r>
        <w:rPr>
          <w:rFonts w:hint="default" w:ascii="宋体" w:hAnsi="宋体" w:cs="宋体"/>
          <w:color w:val="000000"/>
          <w:kern w:val="0"/>
          <w:sz w:val="24"/>
          <w:lang w:val="en-US"/>
        </w:rPr>
        <w:t>采购需求要求</w:t>
      </w:r>
      <w:r>
        <w:rPr>
          <w:rFonts w:hint="eastAsia" w:ascii="宋体" w:hAnsi="宋体" w:cs="宋体"/>
          <w:color w:val="000000"/>
          <w:kern w:val="0"/>
          <w:sz w:val="24"/>
        </w:rPr>
        <w:t>提供或提供的检测报告不符合公开询价通知书要求，则视为虚假响应。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为鼓励不同品牌的充分竞争，如某设备的某技术参数或要求属于个别品牌专有，则该技术参数及要求不具有限制性，响应人可对该参数或要求进行适当调整，但这种调整整体上要优于或相当于自行公开询价通知书的相关要求，并说明调整理由，且该调整须经评标小组审核认可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5.项目验收时，需对自行公开询价通知书功能及技术参数要求进行核对；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6.验收需提供所安装的系统件合格证、保修卡、发货清单等材料；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7.本项目根据系统建设需要提供必备的安装施工辅材及配件等。系统最终功能及应用必须满足采购人要求，方可进行最终验收。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8.保修及售后服务：依据商品的保修条款及售后服务条款，提供原厂质保，质保期按照国家规定，且不低于所供品牌向用户承诺的质保期限，自行公开询价通知书另有约定的从其约定。质保期从货物验收合格后算起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>
      <w:pPr>
        <w:pStyle w:val="17"/>
        <w:numPr>
          <w:ilvl w:val="0"/>
          <w:numId w:val="0"/>
        </w:numPr>
        <w:spacing w:line="240" w:lineRule="auto"/>
        <w:rPr>
          <w:rFonts w:hint="default"/>
          <w:sz w:val="30"/>
          <w:szCs w:val="30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33D3C3F"/>
    <w:rsid w:val="04BB2BD5"/>
    <w:rsid w:val="05493AC0"/>
    <w:rsid w:val="0588202D"/>
    <w:rsid w:val="092E1CF8"/>
    <w:rsid w:val="0C9B54A4"/>
    <w:rsid w:val="0C9E15FB"/>
    <w:rsid w:val="0E01406D"/>
    <w:rsid w:val="0FE760C4"/>
    <w:rsid w:val="13B2765F"/>
    <w:rsid w:val="13BB11C7"/>
    <w:rsid w:val="151E7C1B"/>
    <w:rsid w:val="19647F42"/>
    <w:rsid w:val="1BBC6F25"/>
    <w:rsid w:val="1C1206E1"/>
    <w:rsid w:val="1F874AC5"/>
    <w:rsid w:val="1FD565B9"/>
    <w:rsid w:val="225362A6"/>
    <w:rsid w:val="22D84291"/>
    <w:rsid w:val="2BC716AB"/>
    <w:rsid w:val="2DFB722A"/>
    <w:rsid w:val="2EB5074D"/>
    <w:rsid w:val="33B84876"/>
    <w:rsid w:val="36B5083C"/>
    <w:rsid w:val="38023D7A"/>
    <w:rsid w:val="3A6C704C"/>
    <w:rsid w:val="3AF30ADD"/>
    <w:rsid w:val="3C806A23"/>
    <w:rsid w:val="3E0858C1"/>
    <w:rsid w:val="41DF30A6"/>
    <w:rsid w:val="46E24E21"/>
    <w:rsid w:val="4733009B"/>
    <w:rsid w:val="4C97358B"/>
    <w:rsid w:val="4D8B7271"/>
    <w:rsid w:val="520D0D06"/>
    <w:rsid w:val="528C19BA"/>
    <w:rsid w:val="56956D89"/>
    <w:rsid w:val="585D4B06"/>
    <w:rsid w:val="5C9A1AC5"/>
    <w:rsid w:val="5E4374EB"/>
    <w:rsid w:val="5E7F7895"/>
    <w:rsid w:val="5EDB2B44"/>
    <w:rsid w:val="5F59405B"/>
    <w:rsid w:val="601B366F"/>
    <w:rsid w:val="64F54B95"/>
    <w:rsid w:val="66BC16DF"/>
    <w:rsid w:val="6EB92AF8"/>
    <w:rsid w:val="70A43B43"/>
    <w:rsid w:val="721E7C61"/>
    <w:rsid w:val="74000C22"/>
    <w:rsid w:val="769449CE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5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7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7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annotation text"/>
    <w:basedOn w:val="1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UserStyle_1"/>
    <w:autoRedefine/>
    <w:semiHidden/>
    <w:qFormat/>
    <w:uiPriority w:val="0"/>
  </w:style>
  <w:style w:type="character" w:customStyle="1" w:styleId="21">
    <w:name w:val="UserStyle_7"/>
    <w:autoRedefine/>
    <w:qFormat/>
    <w:uiPriority w:val="0"/>
  </w:style>
  <w:style w:type="character" w:customStyle="1" w:styleId="22">
    <w:name w:val="NormalCharacter"/>
    <w:autoRedefine/>
    <w:semiHidden/>
    <w:qFormat/>
    <w:uiPriority w:val="0"/>
  </w:style>
  <w:style w:type="paragraph" w:customStyle="1" w:styleId="23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202</Words>
  <Characters>205</Characters>
  <Lines>4</Lines>
  <Paragraphs>1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2024-03-12T00:57:00Z</cp:lastPrinted>
  <dcterms:modified xsi:type="dcterms:W3CDTF">2024-05-24T08:15:18Z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F7495872D9AF49FE96BE2DD4EB5B9540_13</vt:lpwstr>
  </property>
</Properties>
</file>